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REGULATION 35</w:t>
      </w:r>
    </w:p>
    <w:p>
      <w:pPr>
        <w:pStyle w:val="Heading1"/>
      </w:pPr>
      <w:r>
        <w:t>Waste transfer note</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Note reference</w:t>
            </w:r>
          </w:p>
        </w:tc>
        <w:tc>
          <w:tcPr>
            <w:tcW w:type="dxa" w:w="6690"/>
          </w:tcPr>
          <w:p>
            <w:pPr>
              <w:spacing w:after="20"/>
            </w:pPr>
            <w:r/>
            <w:r>
              <w:rPr>
                <w:sz w:val="18"/>
              </w:rPr>
            </w:r>
          </w:p>
        </w:tc>
      </w:tr>
      <w:tr>
        <w:tc>
          <w:tcPr>
            <w:tcW w:type="dxa" w:w="3402"/>
          </w:tcPr>
          <w:p>
            <w:pPr>
              <w:spacing w:after="20"/>
            </w:pPr>
            <w:r/>
            <w:r>
              <w:rPr>
                <w:sz w:val="18"/>
              </w:rPr>
              <w:t>List of Wastes code(s)</w:t>
            </w:r>
          </w:p>
        </w:tc>
        <w:tc>
          <w:tcPr>
            <w:tcW w:type="dxa" w:w="6690"/>
          </w:tcPr>
          <w:p>
            <w:pPr>
              <w:spacing w:after="20"/>
            </w:pPr>
            <w:r/>
            <w:r>
              <w:rPr>
                <w:sz w:val="18"/>
              </w:rPr>
            </w:r>
          </w:p>
        </w:tc>
      </w:tr>
      <w:tr>
        <w:tc>
          <w:tcPr>
            <w:tcW w:type="dxa" w:w="3402"/>
          </w:tcPr>
          <w:p>
            <w:pPr>
              <w:spacing w:after="20"/>
            </w:pPr>
            <w:r/>
            <w:r>
              <w:rPr>
                <w:sz w:val="18"/>
              </w:rPr>
              <w:t>Description of the waste</w:t>
            </w:r>
          </w:p>
        </w:tc>
        <w:tc>
          <w:tcPr>
            <w:tcW w:type="dxa" w:w="6690"/>
          </w:tcPr>
          <w:p>
            <w:pPr>
              <w:spacing w:after="20"/>
            </w:pPr>
            <w:r/>
            <w:r>
              <w:rPr>
                <w:sz w:val="18"/>
              </w:rPr>
            </w:r>
          </w:p>
        </w:tc>
      </w:tr>
      <w:tr>
        <w:tc>
          <w:tcPr>
            <w:tcW w:type="dxa" w:w="3402"/>
          </w:tcPr>
          <w:p>
            <w:pPr>
              <w:spacing w:after="20"/>
            </w:pPr>
            <w:r/>
            <w:r>
              <w:rPr>
                <w:sz w:val="18"/>
              </w:rPr>
              <w:t>Quantity, tonnes or m³</w:t>
            </w:r>
          </w:p>
        </w:tc>
        <w:tc>
          <w:tcPr>
            <w:tcW w:type="dxa" w:w="6690"/>
          </w:tcPr>
          <w:p>
            <w:pPr>
              <w:spacing w:after="20"/>
            </w:pPr>
            <w:r/>
            <w:r>
              <w:rPr>
                <w:sz w:val="18"/>
              </w:rPr>
            </w:r>
          </w:p>
        </w:tc>
      </w:tr>
      <w:tr>
        <w:tc>
          <w:tcPr>
            <w:tcW w:type="dxa" w:w="3402"/>
          </w:tcPr>
          <w:p>
            <w:pPr>
              <w:spacing w:after="20"/>
            </w:pPr>
            <w:r/>
            <w:r>
              <w:rPr>
                <w:sz w:val="18"/>
              </w:rPr>
              <w:t>Loose or in a container</w:t>
            </w:r>
          </w:p>
        </w:tc>
        <w:tc>
          <w:tcPr>
            <w:tcW w:type="dxa" w:w="6690"/>
          </w:tcPr>
          <w:p>
            <w:pPr>
              <w:spacing w:after="20"/>
            </w:pPr>
            <w:r/>
            <w:r>
              <w:rPr>
                <w:sz w:val="18"/>
              </w:rPr>
            </w:r>
          </w:p>
        </w:tc>
      </w:tr>
      <w:tr>
        <w:tc>
          <w:tcPr>
            <w:tcW w:type="dxa" w:w="3402"/>
          </w:tcPr>
          <w:p>
            <w:pPr>
              <w:spacing w:after="20"/>
            </w:pPr>
            <w:r/>
            <w:r>
              <w:rPr>
                <w:sz w:val="18"/>
              </w:rPr>
              <w:t>Kind of container: skip, bag, drum</w:t>
            </w:r>
          </w:p>
        </w:tc>
        <w:tc>
          <w:tcPr>
            <w:tcW w:type="dxa" w:w="6690"/>
          </w:tcPr>
          <w:p>
            <w:pPr>
              <w:spacing w:after="20"/>
            </w:pPr>
            <w:r/>
            <w:r>
              <w:rPr>
                <w:sz w:val="18"/>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8504"/>
            <w:shd w:val="clear" w:color="auto" w:fill="E8EAF1"/>
          </w:tcPr>
          <w:p>
            <w:r/>
            <w:r>
              <w:rPr>
                <w:b/>
                <w:sz w:val="18"/>
              </w:rPr>
              <w:t>Check</w:t>
            </w:r>
          </w:p>
        </w:tc>
        <w:tc>
          <w:tcPr>
            <w:tcW w:type="dxa" w:w="1587"/>
            <w:shd w:val="clear" w:color="auto" w:fill="E8EAF1"/>
          </w:tcPr>
          <w:p>
            <w:r/>
            <w:r>
              <w:rPr>
                <w:b/>
                <w:sz w:val="18"/>
              </w:rPr>
              <w:t>Tick</w:t>
            </w:r>
          </w:p>
        </w:tc>
      </w:tr>
      <w:tr>
        <w:tc>
          <w:tcPr>
            <w:tcW w:type="dxa" w:w="8504"/>
          </w:tcPr>
          <w:p>
            <w:pPr>
              <w:spacing w:after="20"/>
            </w:pPr>
            <w:r/>
            <w:r>
              <w:rPr>
                <w:sz w:val="18"/>
              </w:rPr>
              <w:t>I confirm I have fulfilled my duty to apply the waste hierarchy as required by regulation 12 of the Waste (England and Wales) Regulations 2011.</w:t>
            </w:r>
          </w:p>
        </w:tc>
        <w:tc>
          <w:tcPr>
            <w:tcW w:type="dxa" w:w="1587"/>
          </w:tcPr>
          <w:p>
            <w:pPr>
              <w:spacing w:after="20"/>
            </w:pPr>
            <w:r/>
            <w:r>
              <w:rPr>
                <w:sz w:val="18"/>
              </w:rPr>
            </w:r>
          </w:p>
        </w:tc>
      </w:tr>
    </w:tbl>
    <w:p/>
    <w:p>
      <w:r>
        <w:rPr>
          <w:i w:val="0"/>
          <w:sz w:val="20"/>
        </w:rPr>
        <w:t>Transferor: handing over</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Name and business</w:t>
            </w:r>
          </w:p>
        </w:tc>
        <w:tc>
          <w:tcPr>
            <w:tcW w:type="dxa" w:w="6690"/>
          </w:tcPr>
          <w:p>
            <w:pPr>
              <w:spacing w:after="20"/>
            </w:pPr>
            <w:r/>
            <w:r>
              <w:rPr>
                <w:sz w:val="18"/>
              </w:rPr>
            </w:r>
          </w:p>
        </w:tc>
      </w:tr>
      <w:tr>
        <w:tc>
          <w:tcPr>
            <w:tcW w:type="dxa" w:w="3402"/>
          </w:tcPr>
          <w:p>
            <w:pPr>
              <w:spacing w:after="20"/>
            </w:pPr>
            <w:r/>
            <w:r>
              <w:rPr>
                <w:sz w:val="18"/>
              </w:rPr>
              <w:t>Address</w:t>
            </w:r>
          </w:p>
        </w:tc>
        <w:tc>
          <w:tcPr>
            <w:tcW w:type="dxa" w:w="6690"/>
          </w:tcPr>
          <w:p>
            <w:pPr>
              <w:spacing w:after="20"/>
            </w:pPr>
            <w:r/>
            <w:r>
              <w:rPr>
                <w:sz w:val="18"/>
              </w:rPr>
            </w:r>
          </w:p>
        </w:tc>
      </w:tr>
      <w:tr>
        <w:tc>
          <w:tcPr>
            <w:tcW w:type="dxa" w:w="3402"/>
          </w:tcPr>
          <w:p>
            <w:pPr>
              <w:spacing w:after="20"/>
            </w:pPr>
            <w:r/>
            <w:r>
              <w:rPr>
                <w:sz w:val="18"/>
              </w:rPr>
              <w:t>SIC 2007 code</w:t>
            </w:r>
          </w:p>
        </w:tc>
        <w:tc>
          <w:tcPr>
            <w:tcW w:type="dxa" w:w="6690"/>
          </w:tcPr>
          <w:p>
            <w:pPr>
              <w:spacing w:after="20"/>
            </w:pPr>
            <w:r/>
            <w:r>
              <w:rPr>
                <w:sz w:val="18"/>
              </w:rPr>
            </w:r>
          </w:p>
        </w:tc>
      </w:tr>
      <w:tr>
        <w:tc>
          <w:tcPr>
            <w:tcW w:type="dxa" w:w="3402"/>
          </w:tcPr>
          <w:p>
            <w:pPr>
              <w:spacing w:after="20"/>
            </w:pPr>
            <w:r/>
            <w:r>
              <w:rPr>
                <w:sz w:val="18"/>
              </w:rPr>
              <w:t>Role: Producer, importer, carrier, local authority, permit holder, exempt waste operation, or broker or dealer</w:t>
            </w:r>
          </w:p>
        </w:tc>
        <w:tc>
          <w:tcPr>
            <w:tcW w:type="dxa" w:w="6690"/>
          </w:tcPr>
          <w:p>
            <w:pPr>
              <w:spacing w:after="20"/>
            </w:pPr>
            <w:r/>
            <w:r>
              <w:rPr>
                <w:sz w:val="18"/>
              </w:rPr>
            </w:r>
          </w:p>
        </w:tc>
      </w:tr>
      <w:tr>
        <w:tc>
          <w:tcPr>
            <w:tcW w:type="dxa" w:w="3402"/>
          </w:tcPr>
          <w:p>
            <w:pPr>
              <w:spacing w:after="20"/>
            </w:pPr>
            <w:r/>
            <w:r>
              <w:rPr>
                <w:sz w:val="18"/>
              </w:rPr>
              <w:t>Permit, exemption or registration number</w:t>
            </w:r>
          </w:p>
        </w:tc>
        <w:tc>
          <w:tcPr>
            <w:tcW w:type="dxa" w:w="6690"/>
          </w:tcPr>
          <w:p>
            <w:pPr>
              <w:spacing w:after="20"/>
            </w:pPr>
            <w:r/>
            <w:r>
              <w:rPr>
                <w:sz w:val="18"/>
              </w:rPr>
            </w:r>
          </w:p>
        </w:tc>
      </w:tr>
      <w:tr>
        <w:tc>
          <w:tcPr>
            <w:tcW w:type="dxa" w:w="3402"/>
          </w:tcPr>
          <w:p>
            <w:pPr>
              <w:spacing w:after="20"/>
            </w:pPr>
            <w:r/>
            <w:r>
              <w:rPr>
                <w:sz w:val="18"/>
              </w:rPr>
              <w:t>Signature</w:t>
            </w:r>
          </w:p>
        </w:tc>
        <w:tc>
          <w:tcPr>
            <w:tcW w:type="dxa" w:w="6690"/>
          </w:tcPr>
          <w:p>
            <w:pPr>
              <w:spacing w:after="20"/>
            </w:pPr>
            <w:r/>
            <w:r>
              <w:rPr>
                <w:sz w:val="18"/>
              </w:rPr>
            </w:r>
          </w:p>
        </w:tc>
      </w:tr>
    </w:tbl>
    <w:p/>
    <w:p>
      <w:r>
        <w:rPr>
          <w:i w:val="0"/>
          <w:sz w:val="20"/>
        </w:rPr>
        <w:t>Transferee: taking the waste</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Name and business</w:t>
            </w:r>
          </w:p>
        </w:tc>
        <w:tc>
          <w:tcPr>
            <w:tcW w:type="dxa" w:w="6690"/>
          </w:tcPr>
          <w:p>
            <w:pPr>
              <w:spacing w:after="20"/>
            </w:pPr>
            <w:r/>
            <w:r>
              <w:rPr>
                <w:sz w:val="18"/>
              </w:rPr>
            </w:r>
          </w:p>
        </w:tc>
      </w:tr>
      <w:tr>
        <w:tc>
          <w:tcPr>
            <w:tcW w:type="dxa" w:w="3402"/>
          </w:tcPr>
          <w:p>
            <w:pPr>
              <w:spacing w:after="20"/>
            </w:pPr>
            <w:r/>
            <w:r>
              <w:rPr>
                <w:sz w:val="18"/>
              </w:rPr>
              <w:t>Address</w:t>
            </w:r>
          </w:p>
        </w:tc>
        <w:tc>
          <w:tcPr>
            <w:tcW w:type="dxa" w:w="6690"/>
          </w:tcPr>
          <w:p>
            <w:pPr>
              <w:spacing w:after="20"/>
            </w:pPr>
            <w:r/>
            <w:r>
              <w:rPr>
                <w:sz w:val="18"/>
              </w:rPr>
            </w:r>
          </w:p>
        </w:tc>
      </w:tr>
      <w:tr>
        <w:tc>
          <w:tcPr>
            <w:tcW w:type="dxa" w:w="3402"/>
          </w:tcPr>
          <w:p>
            <w:pPr>
              <w:spacing w:after="20"/>
            </w:pPr>
            <w:r/>
            <w:r>
              <w:rPr>
                <w:sz w:val="18"/>
              </w:rPr>
              <w:t>Phone</w:t>
            </w:r>
          </w:p>
        </w:tc>
        <w:tc>
          <w:tcPr>
            <w:tcW w:type="dxa" w:w="6690"/>
          </w:tcPr>
          <w:p>
            <w:pPr>
              <w:spacing w:after="20"/>
            </w:pPr>
            <w:r/>
            <w:r>
              <w:rPr>
                <w:sz w:val="18"/>
              </w:rPr>
            </w:r>
          </w:p>
        </w:tc>
      </w:tr>
      <w:tr>
        <w:tc>
          <w:tcPr>
            <w:tcW w:type="dxa" w:w="3402"/>
          </w:tcPr>
          <w:p>
            <w:pPr>
              <w:spacing w:after="20"/>
            </w:pPr>
            <w:r/>
            <w:r>
              <w:rPr>
                <w:sz w:val="18"/>
              </w:rPr>
              <w:t>Role: Producer, importer, carrier, local authority, permit holder, exempt waste operation, or broker or dealer</w:t>
            </w:r>
          </w:p>
        </w:tc>
        <w:tc>
          <w:tcPr>
            <w:tcW w:type="dxa" w:w="6690"/>
          </w:tcPr>
          <w:p>
            <w:pPr>
              <w:spacing w:after="20"/>
            </w:pPr>
            <w:r/>
            <w:r>
              <w:rPr>
                <w:sz w:val="18"/>
              </w:rPr>
            </w:r>
          </w:p>
        </w:tc>
      </w:tr>
      <w:tr>
        <w:tc>
          <w:tcPr>
            <w:tcW w:type="dxa" w:w="3402"/>
          </w:tcPr>
          <w:p>
            <w:pPr>
              <w:spacing w:after="20"/>
            </w:pPr>
            <w:r/>
            <w:r>
              <w:rPr>
                <w:sz w:val="18"/>
              </w:rPr>
              <w:t>Permit, exemption or registration number</w:t>
            </w:r>
          </w:p>
        </w:tc>
        <w:tc>
          <w:tcPr>
            <w:tcW w:type="dxa" w:w="6690"/>
          </w:tcPr>
          <w:p>
            <w:pPr>
              <w:spacing w:after="20"/>
            </w:pPr>
            <w:r/>
            <w:r>
              <w:rPr>
                <w:sz w:val="18"/>
              </w:rPr>
            </w:r>
          </w:p>
        </w:tc>
      </w:tr>
      <w:tr>
        <w:tc>
          <w:tcPr>
            <w:tcW w:type="dxa" w:w="3402"/>
          </w:tcPr>
          <w:p>
            <w:pPr>
              <w:spacing w:after="20"/>
            </w:pPr>
            <w:r/>
            <w:r>
              <w:rPr>
                <w:sz w:val="18"/>
              </w:rPr>
              <w:t>Signature</w:t>
            </w:r>
          </w:p>
        </w:tc>
        <w:tc>
          <w:tcPr>
            <w:tcW w:type="dxa" w:w="6690"/>
          </w:tcPr>
          <w:p>
            <w:pPr>
              <w:spacing w:after="20"/>
            </w:pPr>
            <w:r/>
            <w:r>
              <w:rPr>
                <w:sz w:val="18"/>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Address of transfer</w:t>
            </w:r>
          </w:p>
        </w:tc>
        <w:tc>
          <w:tcPr>
            <w:tcW w:type="dxa" w:w="6690"/>
          </w:tcPr>
          <w:p>
            <w:pPr>
              <w:spacing w:after="20"/>
            </w:pPr>
            <w:r/>
            <w:r>
              <w:rPr>
                <w:sz w:val="18"/>
              </w:rPr>
            </w:r>
          </w:p>
        </w:tc>
      </w:tr>
      <w:tr>
        <w:tc>
          <w:tcPr>
            <w:tcW w:type="dxa" w:w="3402"/>
          </w:tcPr>
          <w:p>
            <w:pPr>
              <w:spacing w:after="20"/>
            </w:pPr>
            <w:r/>
            <w:r>
              <w:rPr>
                <w:sz w:val="18"/>
              </w:rPr>
              <w:t>Date</w:t>
            </w:r>
          </w:p>
        </w:tc>
        <w:tc>
          <w:tcPr>
            <w:tcW w:type="dxa" w:w="6690"/>
          </w:tcPr>
          <w:p>
            <w:pPr>
              <w:spacing w:after="20"/>
            </w:pPr>
            <w:r/>
            <w:r>
              <w:rPr>
                <w:sz w:val="18"/>
              </w:rPr>
            </w:r>
          </w:p>
        </w:tc>
      </w:tr>
      <w:tr>
        <w:tc>
          <w:tcPr>
            <w:tcW w:type="dxa" w:w="3402"/>
          </w:tcPr>
          <w:p>
            <w:pPr>
              <w:spacing w:after="20"/>
            </w:pPr>
            <w:r/>
            <w:r>
              <w:rPr>
                <w:sz w:val="18"/>
              </w:rPr>
              <w:t>Time</w:t>
            </w:r>
          </w:p>
        </w:tc>
        <w:tc>
          <w:tcPr>
            <w:tcW w:type="dxa" w:w="6690"/>
          </w:tcPr>
          <w:p>
            <w:pPr>
              <w:spacing w:after="20"/>
            </w:pPr>
            <w:r/>
            <w:r>
              <w:rPr>
                <w:sz w:val="18"/>
              </w:rPr>
            </w:r>
          </w:p>
        </w:tc>
      </w:tr>
      <w:tr>
        <w:tc>
          <w:tcPr>
            <w:tcW w:type="dxa" w:w="3402"/>
          </w:tcPr>
          <w:p>
            <w:pPr>
              <w:spacing w:after="20"/>
            </w:pPr>
            <w:r/>
            <w:r>
              <w:rPr>
                <w:sz w:val="18"/>
              </w:rPr>
              <w:t>Season ticket from</w:t>
            </w:r>
          </w:p>
        </w:tc>
        <w:tc>
          <w:tcPr>
            <w:tcW w:type="dxa" w:w="6690"/>
          </w:tcPr>
          <w:p>
            <w:pPr>
              <w:spacing w:after="20"/>
            </w:pPr>
            <w:r/>
            <w:r>
              <w:rPr>
                <w:sz w:val="18"/>
              </w:rPr>
            </w:r>
          </w:p>
        </w:tc>
      </w:tr>
      <w:tr>
        <w:tc>
          <w:tcPr>
            <w:tcW w:type="dxa" w:w="3402"/>
          </w:tcPr>
          <w:p>
            <w:pPr>
              <w:spacing w:after="20"/>
            </w:pPr>
            <w:r/>
            <w:r>
              <w:rPr>
                <w:sz w:val="18"/>
              </w:rPr>
              <w:t>Season ticket to</w:t>
            </w:r>
          </w:p>
        </w:tc>
        <w:tc>
          <w:tcPr>
            <w:tcW w:type="dxa" w:w="6690"/>
          </w:tcPr>
          <w:p>
            <w:pPr>
              <w:spacing w:after="20"/>
            </w:pPr>
            <w:r/>
            <w:r>
              <w:rPr>
                <w:sz w:val="18"/>
              </w:rPr>
            </w:r>
          </w:p>
        </w:tc>
      </w:tr>
      <w:tr>
        <w:tc>
          <w:tcPr>
            <w:tcW w:type="dxa" w:w="3402"/>
          </w:tcPr>
          <w:p>
            <w:pPr>
              <w:spacing w:after="20"/>
            </w:pPr>
            <w:r/>
            <w:r>
              <w:rPr>
                <w:sz w:val="18"/>
              </w:rPr>
              <w:t>Broker or dealer, if any</w:t>
            </w:r>
          </w:p>
        </w:tc>
        <w:tc>
          <w:tcPr>
            <w:tcW w:type="dxa" w:w="6690"/>
          </w:tcPr>
          <w:p>
            <w:pPr>
              <w:spacing w:after="20"/>
            </w:pPr>
            <w:r/>
            <w:r>
              <w:rPr>
                <w:sz w:val="18"/>
              </w:rPr>
            </w:r>
          </w:p>
        </w:tc>
      </w:tr>
    </w:tbl>
    <w:p/>
    <w:p>
      <w:r>
        <w:br w:type="page"/>
      </w:r>
    </w:p>
    <w:p>
      <w:pPr>
        <w:spacing w:after="0"/>
      </w:pPr>
      <w:r>
        <w:rPr>
          <w:b/>
          <w:color w:val="14214D"/>
          <w:sz w:val="16"/>
        </w:rPr>
        <w:t>GUIDANCE</w:t>
      </w:r>
    </w:p>
    <w:p>
      <w:pPr>
        <w:pStyle w:val="Heading1"/>
      </w:pPr>
      <w:r>
        <w:t>Using the transfer note</w:t>
      </w:r>
    </w:p>
    <w:p>
      <w:r>
        <w:rPr>
          <w:i w:val="0"/>
          <w:sz w:val="19"/>
        </w:rPr>
        <w:t>Both the transferor and the transferee keep the note or a copy for at least two years, and produce it within seven days when asked. It can be paper or electronic; an electronic note carries an electronic signature an officer can view. Waste (England and Wales) Regulations 2011, regulation 35.</w:t>
      </w:r>
    </w:p>
    <w:p>
      <w:r>
        <w:rPr>
          <w:i w:val="0"/>
          <w:sz w:val="19"/>
        </w:rPr>
        <w:t>This note is for non-hazardous waste. Hazardous waste, such as asbestos, contaminated soil, many solvents, fluorescent tubes, batteries and oils, travels on a hazardous waste consignment note instead (regulation 35(7)).</w:t>
      </w:r>
    </w:p>
    <w:p>
      <w:r>
        <w:rPr>
          <w:i w:val="0"/>
          <w:sz w:val="19"/>
        </w:rPr>
        <w:t>A season ticket covers a series of transfers of the same non-hazardous waste with the same carrier for up to one year. Before the first collection, check the carrier’s or broker’s registration on the public register and note its expiry date. GOV.UK, Waste duty of care: code of practice.</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Carrier registration checked on</w:t>
            </w:r>
          </w:p>
        </w:tc>
        <w:tc>
          <w:tcPr>
            <w:tcW w:type="dxa" w:w="6690"/>
          </w:tcPr>
          <w:p>
            <w:pPr>
              <w:spacing w:after="20"/>
            </w:pPr>
            <w:r/>
            <w:r>
              <w:rPr>
                <w:sz w:val="18"/>
              </w:rPr>
            </w:r>
          </w:p>
        </w:tc>
      </w:tr>
      <w:tr>
        <w:tc>
          <w:tcPr>
            <w:tcW w:type="dxa" w:w="3402"/>
          </w:tcPr>
          <w:p>
            <w:pPr>
              <w:spacing w:after="20"/>
            </w:pPr>
            <w:r/>
            <w:r>
              <w:rPr>
                <w:sz w:val="18"/>
              </w:rPr>
              <w:t>Expires</w:t>
            </w:r>
          </w:p>
        </w:tc>
        <w:tc>
          <w:tcPr>
            <w:tcW w:type="dxa" w:w="6690"/>
          </w:tcPr>
          <w:p>
            <w:pPr>
              <w:spacing w:after="20"/>
            </w:pPr>
            <w:r/>
            <w:r>
              <w:rPr>
                <w:sz w:val="18"/>
              </w:rPr>
            </w:r>
          </w:p>
        </w:tc>
      </w:tr>
      <w:tr>
        <w:tc>
          <w:tcPr>
            <w:tcW w:type="dxa" w:w="3402"/>
          </w:tcPr>
          <w:p>
            <w:pPr>
              <w:spacing w:after="20"/>
            </w:pPr>
            <w:r/>
            <w:r>
              <w:rPr>
                <w:sz w:val="18"/>
              </w:rPr>
              <w:t>Checked by</w:t>
            </w:r>
          </w:p>
        </w:tc>
        <w:tc>
          <w:tcPr>
            <w:tcW w:type="dxa" w:w="6690"/>
          </w:tcPr>
          <w:p>
            <w:pPr>
              <w:spacing w:after="20"/>
            </w:pPr>
            <w:r/>
            <w:r>
              <w:rPr>
                <w:sz w:val="18"/>
              </w:rPr>
            </w:r>
          </w:p>
        </w:tc>
      </w:tr>
      <w:tr>
        <w:tc>
          <w:tcPr>
            <w:tcW w:type="dxa" w:w="3402"/>
          </w:tcPr>
          <w:p>
            <w:pPr>
              <w:spacing w:after="20"/>
            </w:pPr>
            <w:r/>
            <w:r>
              <w:rPr>
                <w:sz w:val="18"/>
              </w:rPr>
              <w:t>Destination site and permit number</w:t>
            </w:r>
          </w:p>
        </w:tc>
        <w:tc>
          <w:tcPr>
            <w:tcW w:type="dxa" w:w="6690"/>
          </w:tcPr>
          <w:p>
            <w:pPr>
              <w:spacing w:after="20"/>
            </w:pPr>
            <w:r/>
            <w:r>
              <w:rPr>
                <w:sz w:val="18"/>
              </w:rPr>
            </w:r>
          </w:p>
        </w:tc>
      </w:tr>
    </w:tbl>
    <w:p/>
    <w:p>
      <w:r>
        <w:rPr>
          <w:i w:val="0"/>
          <w:color w:val="6B6B6B"/>
          <w:sz w:val="17"/>
        </w:rPr>
        <w:t>England and Wales. Scotland has its own regulations, the Environmental Protection (Duty of Care) (Scotland) Regulations 2014, and Northern Ireland its own.</w:t>
      </w:r>
    </w:p>
    <w:p>
      <w:r>
        <w:rPr>
          <w:i/>
          <w:color w:val="6B6B6B"/>
          <w:sz w:val="16"/>
        </w:rPr>
        <w:t>Not legal advice. Check it against the GOV.UK waste duty of care code of practice.</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unibuild.co.uk/downloads/waste-transfer-note-template/.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Waste transfer note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327</Words>
  <Characters>1768</Characters>
  <Application>Microsoft Macintosh Word</Application>
  <DocSecurity>0</DocSecurity>
  <Paragraphs>52</Paragraphs>
  <ScaleCrop>false</ScaleCrop>
  <HeadingPairs>
    <vt:vector size="2" baseType="variant">
      <vt:variant>
        <vt:lpstr>Title</vt:lpstr>
      </vt:variant>
      <vt:variant>
        <vt:i4>1</vt:i4>
      </vt:variant>
    </vt:vector>
  </HeadingPairs>
  <TitlesOfParts>
    <vt:vector size="1" baseType="lpstr">
      <vt:lpstr>Waste transfer note template</vt:lpstr>
    </vt:vector>
  </TitlesOfParts>
  <Manager/>
  <Company>Unibuild Technologies Limited</Company>
  <LinksUpToDate>false</LinksUpToDate>
  <CharactersWithSpaces>2043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transfer note template (non-hazardous waste, duty of care), free editable Word document | Unibuild</dc:title>
  <dc:subject>Every item the regulations ask for on a transfer of non-hazardous waste: the List of Wastes code, quantity and container, the SIC code, both parties’ roles and registration numbers, the waste hierarchy declaration, signatures and a season ticket option.</dc:subject>
  <dc:creator>Unibuild</dc:creator>
  <cp:keywords>waste transfer note, Waste transfer note template Word, Word template, waste transfer note template, waste transfer note form, duty of care waste, waste season ticket, List of Wastes code, EWC code, waste carrier registration, skip waste transfer note</cp:keywords>
  <dc:description>A free editable waste transfer note for UK trades and construction firms: every item regulation 35 of the Waste (England and Wales) Regulations 2011 asks for, from the List of Wastes code, quantity and container to the transferor’s SIC code, both parties’ roles, permit and carrier registration numbers, the waste hierarchy declaration and both signatures, with a season ticket option and a guidance page. Free to download, use and reuse, from Unibuild (unibuild.co.uk). This is the Word version, to edit in Microsoft Word or any program that opens .docx files. Page: https://unibuild.co.uk/downloads/waste-transfer-note-template/</dc:description>
  <cp:lastModifiedBy>Unibuild</cp:lastModifiedBy>
  <cp:revision>1</cp:revision>
  <dcterms:created xsi:type="dcterms:W3CDTF">2026-10-28T00:00:00Z</dcterms:created>
  <dcterms:modified xsi:type="dcterms:W3CDTF">2026-10-28T07:10:31Z</dcterms:modified>
  <cp:category>Note</cp:category>
  <dc:language>en-GB</dc:language>
  <dc:identifier>https://unibuild.co.uk/assets/downloads/waste-transfer-note-template.docx</dc:identifier>
</cp:coreProperties>
</file>