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INSTRUCTED IN WRITING</w:t>
      </w:r>
    </w:p>
    <w:p>
      <w:pPr>
        <w:pStyle w:val="Heading1"/>
      </w:pPr>
      <w:r>
        <w:t>Variation order</w:t>
      </w:r>
    </w:p>
    <w:p>
      <w:r>
        <w:rPr>
          <w:i w:val="0"/>
          <w:color w:val="6B6B6B"/>
          <w:sz w:val="18"/>
        </w:rPr>
        <w:t>Get the instruction in writing before the work is done. The JCT and NEC families expect an instruction in writing; a verbal one is confirmed in writing the same day, and the confirmation is kept with this order.</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Variation number</w:t>
            </w:r>
          </w:p>
        </w:tc>
        <w:tc>
          <w:tcPr>
            <w:tcW w:type="dxa" w:w="6690"/>
          </w:tcPr>
          <w:p>
            <w:pPr>
              <w:spacing w:after="20"/>
            </w:pPr>
            <w:r/>
            <w:r>
              <w:rPr>
                <w:sz w:val="18"/>
              </w:rPr>
            </w:r>
          </w:p>
        </w:tc>
      </w:tr>
      <w:tr>
        <w:tc>
          <w:tcPr>
            <w:tcW w:type="dxa" w:w="3402"/>
          </w:tcPr>
          <w:p>
            <w:pPr>
              <w:spacing w:after="20"/>
            </w:pPr>
            <w:r/>
            <w:r>
              <w:rPr>
                <w:sz w:val="18"/>
              </w:rPr>
              <w:t>Project</w:t>
            </w:r>
          </w:p>
        </w:tc>
        <w:tc>
          <w:tcPr>
            <w:tcW w:type="dxa" w:w="6690"/>
          </w:tcPr>
          <w:p>
            <w:pPr>
              <w:spacing w:after="20"/>
            </w:pPr>
            <w:r/>
            <w:r>
              <w:rPr>
                <w:sz w:val="18"/>
              </w:rPr>
            </w:r>
          </w:p>
        </w:tc>
      </w:tr>
      <w:tr>
        <w:tc>
          <w:tcPr>
            <w:tcW w:type="dxa" w:w="3402"/>
          </w:tcPr>
          <w:p>
            <w:pPr>
              <w:spacing w:after="20"/>
            </w:pPr>
            <w:r/>
            <w:r>
              <w:rPr>
                <w:sz w:val="18"/>
              </w:rPr>
              <w:t>Contract reference</w:t>
            </w:r>
          </w:p>
        </w:tc>
        <w:tc>
          <w:tcPr>
            <w:tcW w:type="dxa" w:w="6690"/>
          </w:tcPr>
          <w:p>
            <w:pPr>
              <w:spacing w:after="20"/>
            </w:pPr>
            <w:r/>
            <w:r>
              <w:rPr>
                <w:sz w:val="18"/>
              </w:rPr>
            </w:r>
          </w:p>
        </w:tc>
      </w:tr>
      <w:tr>
        <w:tc>
          <w:tcPr>
            <w:tcW w:type="dxa" w:w="3402"/>
          </w:tcPr>
          <w:p>
            <w:pPr>
              <w:spacing w:after="20"/>
            </w:pPr>
            <w:r/>
            <w:r>
              <w:rPr>
                <w:sz w:val="18"/>
              </w:rPr>
              <w:t>Client or main contractor</w:t>
            </w:r>
          </w:p>
        </w:tc>
        <w:tc>
          <w:tcPr>
            <w:tcW w:type="dxa" w:w="6690"/>
          </w:tcPr>
          <w:p>
            <w:pPr>
              <w:spacing w:after="20"/>
            </w:pPr>
            <w:r/>
            <w:r>
              <w:rPr>
                <w:sz w:val="18"/>
              </w:rPr>
            </w:r>
          </w:p>
        </w:tc>
      </w:tr>
      <w:tr>
        <w:tc>
          <w:tcPr>
            <w:tcW w:type="dxa" w:w="3402"/>
          </w:tcPr>
          <w:p>
            <w:pPr>
              <w:spacing w:after="20"/>
            </w:pPr>
            <w:r/>
            <w:r>
              <w:rPr>
                <w:sz w:val="18"/>
              </w:rPr>
              <w:t>Date raised</w:t>
            </w:r>
          </w:p>
        </w:tc>
        <w:tc>
          <w:tcPr>
            <w:tcW w:type="dxa" w:w="6690"/>
          </w:tcPr>
          <w:p>
            <w:pPr>
              <w:spacing w:after="20"/>
            </w:pPr>
            <w:r/>
            <w:r>
              <w:rPr>
                <w:sz w:val="18"/>
              </w:rPr>
            </w:r>
          </w:p>
        </w:tc>
      </w:tr>
      <w:tr>
        <w:tc>
          <w:tcPr>
            <w:tcW w:type="dxa" w:w="3402"/>
          </w:tcPr>
          <w:p>
            <w:pPr>
              <w:spacing w:after="20"/>
            </w:pPr>
            <w:r/>
            <w:r>
              <w:rPr>
                <w:sz w:val="18"/>
              </w:rPr>
              <w:t>Instructed by, name and role</w:t>
            </w:r>
          </w:p>
        </w:tc>
        <w:tc>
          <w:tcPr>
            <w:tcW w:type="dxa" w:w="6690"/>
          </w:tcPr>
          <w:p>
            <w:pPr>
              <w:spacing w:after="20"/>
            </w:pPr>
            <w:r/>
            <w:r>
              <w:rPr>
                <w:sz w:val="18"/>
              </w:rPr>
            </w:r>
          </w:p>
        </w:tc>
      </w:tr>
      <w:tr>
        <w:tc>
          <w:tcPr>
            <w:tcW w:type="dxa" w:w="3402"/>
          </w:tcPr>
          <w:p>
            <w:pPr>
              <w:spacing w:after="20"/>
            </w:pPr>
            <w:r/>
            <w:r>
              <w:rPr>
                <w:sz w:val="18"/>
              </w:rPr>
              <w:t>Instructed on</w:t>
            </w:r>
          </w:p>
        </w:tc>
        <w:tc>
          <w:tcPr>
            <w:tcW w:type="dxa" w:w="6690"/>
          </w:tcPr>
          <w:p>
            <w:pPr>
              <w:spacing w:after="20"/>
            </w:pPr>
            <w:r/>
            <w:r>
              <w:rPr>
                <w:sz w:val="18"/>
              </w:rPr>
            </w:r>
          </w:p>
        </w:tc>
      </w:tr>
      <w:tr>
        <w:tc>
          <w:tcPr>
            <w:tcW w:type="dxa" w:w="3402"/>
          </w:tcPr>
          <w:p>
            <w:pPr>
              <w:spacing w:after="20"/>
            </w:pPr>
            <w:r/>
            <w:r>
              <w:rPr>
                <w:sz w:val="18"/>
              </w:rPr>
              <w:t>How: letter, email, site instruction, verbal</w:t>
            </w:r>
          </w:p>
        </w:tc>
        <w:tc>
          <w:tcPr>
            <w:tcW w:type="dxa" w:w="6690"/>
          </w:tcPr>
          <w:p>
            <w:pPr>
              <w:spacing w:after="20"/>
            </w:pPr>
            <w:r/>
            <w:r>
              <w:rPr>
                <w:sz w:val="18"/>
              </w:rPr>
            </w:r>
          </w:p>
        </w:tc>
      </w:tr>
      <w:tr>
        <w:tc>
          <w:tcPr>
            <w:tcW w:type="dxa" w:w="3402"/>
          </w:tcPr>
          <w:p>
            <w:pPr>
              <w:spacing w:after="20"/>
            </w:pPr>
            <w:r/>
            <w:r>
              <w:rPr>
                <w:sz w:val="18"/>
              </w:rPr>
              <w:t>Their reference</w:t>
            </w:r>
          </w:p>
        </w:tc>
        <w:tc>
          <w:tcPr>
            <w:tcW w:type="dxa" w:w="6690"/>
          </w:tcPr>
          <w:p>
            <w:pPr>
              <w:spacing w:after="20"/>
            </w:pPr>
            <w:r/>
            <w:r>
              <w:rPr>
                <w:sz w:val="18"/>
              </w:rPr>
            </w:r>
          </w:p>
        </w:tc>
      </w:tr>
      <w:tr>
        <w:tc>
          <w:tcPr>
            <w:tcW w:type="dxa" w:w="3402"/>
          </w:tcPr>
          <w:p>
            <w:pPr>
              <w:spacing w:after="20"/>
            </w:pPr>
            <w:r/>
            <w:r>
              <w:rPr>
                <w:sz w:val="18"/>
              </w:rPr>
              <w:t>The change: what is added, omitted or altered, against the drawing, specification or order it changes</w:t>
            </w:r>
          </w:p>
        </w:tc>
        <w:tc>
          <w:tcPr>
            <w:tcW w:type="dxa" w:w="6690"/>
          </w:tcPr>
          <w:p>
            <w:pPr>
              <w:spacing w:after="20"/>
            </w:pPr>
            <w:r/>
            <w:r>
              <w:rPr>
                <w:sz w:val="18"/>
              </w:rPr>
            </w:r>
          </w:p>
        </w:tc>
      </w:tr>
      <w:tr>
        <w:tc>
          <w:tcPr>
            <w:tcW w:type="dxa" w:w="3402"/>
          </w:tcPr>
          <w:p>
            <w:pPr>
              <w:spacing w:after="20"/>
            </w:pPr>
            <w:r/>
            <w:r>
              <w:rPr>
                <w:sz w:val="18"/>
              </w:rPr>
              <w:t>Reason: client request, design change, unforeseen site condition, statutory requirement, error or omission, other</w:t>
            </w:r>
          </w:p>
        </w:tc>
        <w:tc>
          <w:tcPr>
            <w:tcW w:type="dxa" w:w="6690"/>
          </w:tcPr>
          <w:p>
            <w:pPr>
              <w:spacing w:after="20"/>
            </w:pPr>
            <w:r/>
            <w:r>
              <w:rPr>
                <w:sz w:val="18"/>
              </w:rPr>
            </w:r>
          </w:p>
        </w:tc>
      </w:tr>
      <w:tr>
        <w:tc>
          <w:tcPr>
            <w:tcW w:type="dxa" w:w="3402"/>
          </w:tcPr>
          <w:p>
            <w:pPr>
              <w:spacing w:after="20"/>
            </w:pPr>
            <w:r/>
            <w:r>
              <w:rPr>
                <w:sz w:val="18"/>
              </w:rPr>
              <w:t>Cost basis: quoted lump sum, measured at contract rates, daywork priced after, or to be agreed</w:t>
            </w:r>
          </w:p>
        </w:tc>
        <w:tc>
          <w:tcPr>
            <w:tcW w:type="dxa" w:w="6690"/>
          </w:tcPr>
          <w:p>
            <w:pPr>
              <w:spacing w:after="20"/>
            </w:pPr>
            <w:r/>
            <w:r>
              <w:rPr>
                <w:sz w:val="18"/>
              </w:rPr>
            </w:r>
          </w:p>
        </w:tc>
      </w:tr>
      <w:tr>
        <w:tc>
          <w:tcPr>
            <w:tcW w:type="dxa" w:w="3402"/>
          </w:tcPr>
          <w:p>
            <w:pPr>
              <w:spacing w:after="20"/>
            </w:pPr>
            <w:r/>
            <w:r>
              <w:rPr>
                <w:sz w:val="18"/>
              </w:rPr>
              <w:t>Estimated cost, £</w:t>
            </w:r>
          </w:p>
        </w:tc>
        <w:tc>
          <w:tcPr>
            <w:tcW w:type="dxa" w:w="6690"/>
          </w:tcPr>
          <w:p>
            <w:pPr>
              <w:spacing w:after="20"/>
            </w:pPr>
            <w:r/>
            <w:r>
              <w:rPr>
                <w:sz w:val="18"/>
              </w:rPr>
            </w:r>
          </w:p>
        </w:tc>
      </w:tr>
      <w:tr>
        <w:tc>
          <w:tcPr>
            <w:tcW w:type="dxa" w:w="3402"/>
          </w:tcPr>
          <w:p>
            <w:pPr>
              <w:spacing w:after="20"/>
            </w:pPr>
            <w:r/>
            <w:r>
              <w:rPr>
                <w:sz w:val="18"/>
              </w:rPr>
              <w:t>Agreed value, £</w:t>
            </w:r>
          </w:p>
        </w:tc>
        <w:tc>
          <w:tcPr>
            <w:tcW w:type="dxa" w:w="6690"/>
          </w:tcPr>
          <w:p>
            <w:pPr>
              <w:spacing w:after="20"/>
            </w:pPr>
            <w:r/>
            <w:r>
              <w:rPr>
                <w:sz w:val="18"/>
              </w:rPr>
            </w:r>
          </w:p>
        </w:tc>
      </w:tr>
      <w:tr>
        <w:tc>
          <w:tcPr>
            <w:tcW w:type="dxa" w:w="3402"/>
          </w:tcPr>
          <w:p>
            <w:pPr>
              <w:spacing w:after="20"/>
            </w:pPr>
            <w:r/>
            <w:r>
              <w:rPr>
                <w:sz w:val="18"/>
              </w:rPr>
              <w:t>Daywork sheet numbers</w:t>
            </w:r>
          </w:p>
        </w:tc>
        <w:tc>
          <w:tcPr>
            <w:tcW w:type="dxa" w:w="6690"/>
          </w:tcPr>
          <w:p>
            <w:pPr>
              <w:spacing w:after="20"/>
            </w:pPr>
            <w:r/>
            <w:r>
              <w:rPr>
                <w:sz w:val="18"/>
              </w:rPr>
            </w:r>
          </w:p>
        </w:tc>
      </w:tr>
      <w:tr>
        <w:tc>
          <w:tcPr>
            <w:tcW w:type="dxa" w:w="3402"/>
          </w:tcPr>
          <w:p>
            <w:pPr>
              <w:spacing w:after="20"/>
            </w:pPr>
            <w:r/>
            <w:r>
              <w:rPr>
                <w:sz w:val="18"/>
              </w:rPr>
              <w:t>Extension sought, days</w:t>
            </w:r>
          </w:p>
        </w:tc>
        <w:tc>
          <w:tcPr>
            <w:tcW w:type="dxa" w:w="6690"/>
          </w:tcPr>
          <w:p>
            <w:pPr>
              <w:spacing w:after="20"/>
            </w:pPr>
            <w:r/>
            <w:r>
              <w:rPr>
                <w:sz w:val="18"/>
              </w:rPr>
            </w:r>
          </w:p>
        </w:tc>
      </w:tr>
      <w:tr>
        <w:tc>
          <w:tcPr>
            <w:tcW w:type="dxa" w:w="3402"/>
          </w:tcPr>
          <w:p>
            <w:pPr>
              <w:spacing w:after="20"/>
            </w:pPr>
            <w:r/>
            <w:r>
              <w:rPr>
                <w:sz w:val="18"/>
              </w:rPr>
              <w:t>Activities and dates affected</w:t>
            </w:r>
          </w:p>
        </w:tc>
        <w:tc>
          <w:tcPr>
            <w:tcW w:type="dxa" w:w="6690"/>
          </w:tcPr>
          <w:p>
            <w:pPr>
              <w:spacing w:after="20"/>
            </w:pPr>
            <w:r/>
            <w:r>
              <w:rPr>
                <w:sz w:val="18"/>
              </w:rPr>
            </w:r>
          </w:p>
        </w:tc>
      </w:tr>
      <w:tr>
        <w:tc>
          <w:tcPr>
            <w:tcW w:type="dxa" w:w="3402"/>
          </w:tcPr>
          <w:p>
            <w:pPr>
              <w:spacing w:after="20"/>
            </w:pPr>
            <w:r/>
            <w:r>
              <w:rPr>
                <w:sz w:val="18"/>
              </w:rPr>
              <w:t>For the contractor: name, signature, date</w:t>
            </w:r>
          </w:p>
        </w:tc>
        <w:tc>
          <w:tcPr>
            <w:tcW w:type="dxa" w:w="6690"/>
          </w:tcPr>
          <w:p>
            <w:pPr>
              <w:spacing w:after="20"/>
            </w:pPr>
            <w:r/>
            <w:r>
              <w:rPr>
                <w:sz w:val="18"/>
              </w:rPr>
            </w:r>
          </w:p>
        </w:tc>
      </w:tr>
      <w:tr>
        <w:tc>
          <w:tcPr>
            <w:tcW w:type="dxa" w:w="3402"/>
          </w:tcPr>
          <w:p>
            <w:pPr>
              <w:spacing w:after="20"/>
            </w:pPr>
            <w:r/>
            <w:r>
              <w:rPr>
                <w:sz w:val="18"/>
              </w:rPr>
              <w:t>For the client: name, signature, date</w:t>
            </w:r>
          </w:p>
        </w:tc>
        <w:tc>
          <w:tcPr>
            <w:tcW w:type="dxa" w:w="6690"/>
          </w:tcPr>
          <w:p>
            <w:pPr>
              <w:spacing w:after="20"/>
            </w:pPr>
            <w:r/>
            <w:r>
              <w:rPr>
                <w:sz w:val="18"/>
              </w:rPr>
            </w:r>
          </w:p>
        </w:tc>
      </w:tr>
    </w:tbl>
    <w:p/>
    <w:p>
      <w:r>
        <w:br w:type="page"/>
      </w:r>
    </w:p>
    <w:p>
      <w:pPr>
        <w:spacing w:after="0"/>
      </w:pPr>
      <w:r>
        <w:rPr>
          <w:b/>
          <w:color w:val="14214D"/>
          <w:sz w:val="16"/>
        </w:rPr>
        <w:t>GUIDANCE</w:t>
      </w:r>
    </w:p>
    <w:p>
      <w:pPr>
        <w:pStyle w:val="Heading1"/>
      </w:pPr>
      <w:r>
        <w:t>Getting paid for the variation</w:t>
      </w:r>
    </w:p>
    <w:p>
      <w:r>
        <w:rPr>
          <w:i w:val="0"/>
          <w:sz w:val="19"/>
        </w:rPr>
        <w:t>Before: an instruction in writing, or a verbal instruction confirmed in writing the same day, with the confirmation kept. During: a daywork sheet signed each day, photographs, and the materials and plant tickets. After: the variation is a line in the next application for payment, with the sum and the basis of calculation.</w:t>
      </w:r>
    </w:p>
    <w:p>
      <w:r>
        <w:rPr>
          <w:i w:val="0"/>
          <w:sz w:val="19"/>
        </w:rPr>
        <w:t>The payment mechanism is how a variation gets paid. The application states the sum the contractor considers due at the due date and the basis on which it is calculated (Housing Grants, Construction and Regeneration Act 1996, section 110A). A variation that is not in the application is not in the notified sum. If the payer disagrees, the Act gives them one route: a pay less notice before the deadline, stating the sum they consider due and the basis for it. Without one, the notified sum is payable on the final date for payment.</w:t>
      </w:r>
    </w:p>
    <w:p>
      <w:r>
        <w:rPr>
          <w:i/>
          <w:color w:val="6B6B6B"/>
          <w:sz w:val="16"/>
        </w:rPr>
        <w:t>Not legal advice. Check it against GOV.UK and your own contracts and policies.</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unibuild.co.uk/downloads/variation-order-template/.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Variation order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311</Words>
  <Characters>1612</Characters>
  <Application>Microsoft Macintosh Word</Application>
  <DocSecurity>0</DocSecurity>
  <Paragraphs>29</Paragraphs>
  <ScaleCrop>false</ScaleCrop>
  <HeadingPairs>
    <vt:vector size="2" baseType="variant">
      <vt:variant>
        <vt:lpstr>Title</vt:lpstr>
      </vt:variant>
      <vt:variant>
        <vt:i4>1</vt:i4>
      </vt:variant>
    </vt:vector>
  </HeadingPairs>
  <TitlesOfParts>
    <vt:vector size="1" baseType="lpstr">
      <vt:lpstr>Variation order template</vt:lpstr>
    </vt:vector>
  </TitlesOfParts>
  <Manager/>
  <Company>Unibuild Technologies Limited</Company>
  <LinksUpToDate>false</LinksUpToDate>
  <CharactersWithSpaces>1894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Variation order template (construction change instruction), free editable Word document | Unibuild</dc:title>
  <dc:subject>The instruction, who gave it and when, the change against the contract, the reason, the cost basis and estimate, the effect on the programme, and agreement by both sides, with a guidance page on getting the variation paid.</dc:subject>
  <dc:creator>Unibuild</dc:creator>
  <cp:keywords>variation order template, Variation order template Word, Word template, variation order form, construction variation template, change order template UK, site instruction form, variation instruction, variation order Word, Construction Act, UK construction</cp:keywords>
  <dc:description>A free editable variation order for UK trades and construction firms: the instruction, who gave it and when, the change described against the contract, the reason, the cost basis and estimate, the effect on the programme, and agreement by both sides, with a guidance page on getting paid for variations under the Construction Act. Free to download, use and reuse, from Unibuild (unibuild.co.uk). This is the Word version, to edit in Microsoft Word or any program that opens .docx files. Page: https://unibuild.co.uk/downloads/variation-order-template/</dc:description>
  <cp:lastModifiedBy>Unibuild</cp:lastModifiedBy>
  <cp:revision>1</cp:revision>
  <dcterms:created xsi:type="dcterms:W3CDTF">2026-10-18T00:00:00Z</dcterms:created>
  <dcterms:modified xsi:type="dcterms:W3CDTF">2026-10-18T08:07:23Z</dcterms:modified>
  <cp:category>Order</cp:category>
  <dc:language>en-GB</dc:language>
  <dc:identifier>https://unibuild.co.uk/assets/downloads/variation-order-template.docx</dc:identifier>
</cp:coreProperties>
</file>