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pPr>
        <w:pStyle w:val="Title"/>
      </w:pPr>
      <w:r>
        <w:t>COSHH register</w:t>
      </w:r>
    </w:p>
    <w:p>
      <w:r>
        <w:rPr>
          <w:i w:val="0"/>
          <w:sz w:val="20"/>
        </w:rPr>
        <w:t>Every hazardous substance the firm or site holds, with its data sheet and its COSHH assessment. A register is good practice, not a legal requirement; the assessments are the duty.</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3175"/>
            <w:shd w:val="clear" w:color="auto" w:fill="E8EAF1"/>
          </w:tcPr>
          <w:p>
            <w:r/>
            <w:r>
              <w:rPr>
                <w:b/>
                <w:sz w:val="18"/>
              </w:rPr>
              <w:t>Firm, site or premises</w:t>
            </w:r>
          </w:p>
        </w:tc>
        <w:tc>
          <w:tcPr>
            <w:tcW w:type="dxa" w:w="2268"/>
            <w:shd w:val="clear" w:color="auto" w:fill="E8EAF1"/>
          </w:tcPr>
          <w:p>
            <w:r/>
            <w:r>
              <w:rPr>
                <w:b/>
                <w:sz w:val="18"/>
              </w:rPr>
              <w:t>Kept by</w:t>
            </w:r>
          </w:p>
        </w:tc>
        <w:tc>
          <w:tcPr>
            <w:tcW w:type="dxa" w:w="2268"/>
            <w:shd w:val="clear" w:color="auto" w:fill="E8EAF1"/>
          </w:tcPr>
          <w:p>
            <w:r/>
            <w:r>
              <w:rPr>
                <w:b/>
                <w:sz w:val="18"/>
              </w:rPr>
              <w:t>Register reference</w:t>
            </w:r>
          </w:p>
        </w:tc>
        <w:tc>
          <w:tcPr>
            <w:tcW w:type="dxa" w:w="2835"/>
            <w:shd w:val="clear" w:color="auto" w:fill="E8EAF1"/>
          </w:tcPr>
          <w:p>
            <w:r/>
            <w:r>
              <w:rPr>
                <w:b/>
                <w:sz w:val="18"/>
              </w:rPr>
              <w:t>Data sheets kept at</w:t>
            </w:r>
          </w:p>
        </w:tc>
        <w:tc>
          <w:tcPr>
            <w:tcW w:type="dxa" w:w="2268"/>
            <w:shd w:val="clear" w:color="auto" w:fill="E8EAF1"/>
          </w:tcPr>
          <w:p>
            <w:r/>
            <w:r>
              <w:rPr>
                <w:b/>
                <w:sz w:val="18"/>
              </w:rPr>
              <w:t>Last checked in full</w:t>
            </w:r>
          </w:p>
        </w:tc>
        <w:tc>
          <w:tcPr>
            <w:tcW w:type="dxa" w:w="2665"/>
            <w:shd w:val="clear" w:color="auto" w:fill="E8EAF1"/>
          </w:tcPr>
          <w:p>
            <w:r/>
            <w:r>
              <w:rPr>
                <w:b/>
                <w:sz w:val="18"/>
              </w:rPr>
              <w:t>Next full check</w:t>
            </w:r>
          </w:p>
        </w:tc>
      </w:tr>
      <w:tr>
        <w:tc>
          <w:tcPr>
            <w:tcW w:type="dxa" w:w="3175"/>
          </w:tcPr>
          <w:p>
            <w:pPr>
              <w:spacing w:after="20"/>
            </w:pPr>
            <w:r/>
            <w:r>
              <w:rPr>
                <w:sz w:val="18"/>
              </w:rPr>
            </w:r>
          </w:p>
        </w:tc>
        <w:tc>
          <w:tcPr>
            <w:tcW w:type="dxa" w:w="2268"/>
          </w:tcPr>
          <w:p>
            <w:pPr>
              <w:spacing w:after="20"/>
            </w:pPr>
            <w:r/>
            <w:r>
              <w:rPr>
                <w:sz w:val="18"/>
              </w:rPr>
            </w:r>
          </w:p>
        </w:tc>
        <w:tc>
          <w:tcPr>
            <w:tcW w:type="dxa" w:w="2268"/>
          </w:tcPr>
          <w:p>
            <w:pPr>
              <w:spacing w:after="20"/>
            </w:pPr>
            <w:r/>
            <w:r>
              <w:rPr>
                <w:sz w:val="18"/>
              </w:rPr>
            </w:r>
          </w:p>
        </w:tc>
        <w:tc>
          <w:tcPr>
            <w:tcW w:type="dxa" w:w="2835"/>
          </w:tcPr>
          <w:p>
            <w:pPr>
              <w:spacing w:after="20"/>
            </w:pPr>
            <w:r/>
            <w:r>
              <w:rPr>
                <w:sz w:val="18"/>
              </w:rPr>
            </w:r>
          </w:p>
        </w:tc>
        <w:tc>
          <w:tcPr>
            <w:tcW w:type="dxa" w:w="2268"/>
          </w:tcPr>
          <w:p>
            <w:pPr>
              <w:spacing w:after="20"/>
            </w:pPr>
            <w:r/>
            <w:r>
              <w:rPr>
                <w:sz w:val="18"/>
              </w:rPr>
            </w:r>
          </w:p>
        </w:tc>
        <w:tc>
          <w:tcPr>
            <w:tcW w:type="dxa" w:w="2665"/>
          </w:tcPr>
          <w:p>
            <w:pPr>
              <w:spacing w:after="20"/>
            </w:pPr>
            <w:r/>
            <w:r>
              <w:rPr>
                <w:sz w:val="18"/>
              </w:rPr>
            </w:r>
          </w:p>
        </w:tc>
      </w:tr>
    </w:tbl>
    <w:p/>
    <w:p>
      <w:r>
        <w:rPr>
          <w:i w:val="0"/>
          <w:color w:val="6B6B6B"/>
          <w:sz w:val="16"/>
        </w:rPr>
        <w:t>Pictograms: GHS01 explosive, GHS02 flammable, GHS03 oxidising, GHS04 gas under pressure, GHS05 corrosive, GHS06 acute toxicity, GHS07 health hazard or hazardous to the ozone layer, GHS08 serious health hazard, GHS09 hazardous to the environment. WEL: from EH40/2005, or none. Withdrawn: the date it left use. Keep the row and the data sheet.</w:t>
      </w:r>
    </w:p>
    <w:tbl>
      <w:tblPr>
        <w:tblStyle w:val="TableGrid"/>
        <w:tblW w:type="auto" w:w="0"/>
        <w:jc w:val="center"/>
        <w:tblLook w:firstColumn="1" w:firstRow="1" w:lastColumn="0" w:lastRow="0" w:noHBand="0" w:noVBand="1" w:val="04A0"/>
      </w:tblPr>
      <w:tblGrid>
        <w:gridCol w:w="1191"/>
        <w:gridCol w:w="1191"/>
        <w:gridCol w:w="1191"/>
        <w:gridCol w:w="1191"/>
        <w:gridCol w:w="1191"/>
        <w:gridCol w:w="1191"/>
        <w:gridCol w:w="1191"/>
        <w:gridCol w:w="1191"/>
        <w:gridCol w:w="1191"/>
        <w:gridCol w:w="1191"/>
        <w:gridCol w:w="1191"/>
        <w:gridCol w:w="1191"/>
        <w:gridCol w:w="1191"/>
      </w:tblGrid>
      <w:tr>
        <w:trPr>
          <w:tblHeader w:val="true"/>
        </w:trPr>
        <w:tc>
          <w:tcPr>
            <w:tcW w:type="dxa" w:w="1701"/>
            <w:shd w:val="clear" w:color="auto" w:fill="E8EAF1"/>
          </w:tcPr>
          <w:p>
            <w:r/>
            <w:r>
              <w:rPr>
                <w:b/>
                <w:sz w:val="15"/>
              </w:rPr>
              <w:t>Product name</w:t>
            </w:r>
          </w:p>
        </w:tc>
        <w:tc>
          <w:tcPr>
            <w:tcW w:type="dxa" w:w="1304"/>
            <w:shd w:val="clear" w:color="auto" w:fill="E8EAF1"/>
          </w:tcPr>
          <w:p>
            <w:r/>
            <w:r>
              <w:rPr>
                <w:b/>
                <w:sz w:val="15"/>
              </w:rPr>
              <w:t>Supplier</w:t>
            </w:r>
          </w:p>
        </w:tc>
        <w:tc>
          <w:tcPr>
            <w:tcW w:type="dxa" w:w="1701"/>
            <w:shd w:val="clear" w:color="auto" w:fill="E8EAF1"/>
          </w:tcPr>
          <w:p>
            <w:r/>
            <w:r>
              <w:rPr>
                <w:b/>
                <w:sz w:val="15"/>
              </w:rPr>
              <w:t>Used for, and where</w:t>
            </w:r>
          </w:p>
        </w:tc>
        <w:tc>
          <w:tcPr>
            <w:tcW w:type="dxa" w:w="1304"/>
            <w:shd w:val="clear" w:color="auto" w:fill="E8EAF1"/>
          </w:tcPr>
          <w:p>
            <w:r/>
            <w:r>
              <w:rPr>
                <w:b/>
                <w:sz w:val="15"/>
              </w:rPr>
              <w:t>Stored at</w:t>
            </w:r>
          </w:p>
        </w:tc>
        <w:tc>
          <w:tcPr>
            <w:tcW w:type="dxa" w:w="1020"/>
            <w:shd w:val="clear" w:color="auto" w:fill="E8EAF1"/>
          </w:tcPr>
          <w:p>
            <w:r/>
            <w:r>
              <w:rPr>
                <w:b/>
                <w:sz w:val="15"/>
              </w:rPr>
              <w:t>Data sheet date</w:t>
            </w:r>
          </w:p>
        </w:tc>
        <w:tc>
          <w:tcPr>
            <w:tcW w:type="dxa" w:w="794"/>
            <w:shd w:val="clear" w:color="auto" w:fill="E8EAF1"/>
          </w:tcPr>
          <w:p>
            <w:r/>
            <w:r>
              <w:rPr>
                <w:b/>
                <w:sz w:val="15"/>
              </w:rPr>
              <w:t>Version</w:t>
            </w:r>
          </w:p>
        </w:tc>
        <w:tc>
          <w:tcPr>
            <w:tcW w:type="dxa" w:w="1474"/>
            <w:shd w:val="clear" w:color="auto" w:fill="E8EAF1"/>
          </w:tcPr>
          <w:p>
            <w:r/>
            <w:r>
              <w:rPr>
                <w:b/>
                <w:sz w:val="15"/>
              </w:rPr>
              <w:t>Pictograms or main hazard</w:t>
            </w:r>
          </w:p>
        </w:tc>
        <w:tc>
          <w:tcPr>
            <w:tcW w:type="dxa" w:w="907"/>
            <w:shd w:val="clear" w:color="auto" w:fill="E8EAF1"/>
          </w:tcPr>
          <w:p>
            <w:r/>
            <w:r>
              <w:rPr>
                <w:b/>
                <w:sz w:val="15"/>
              </w:rPr>
              <w:t>WEL</w:t>
            </w:r>
          </w:p>
        </w:tc>
        <w:tc>
          <w:tcPr>
            <w:tcW w:type="dxa" w:w="907"/>
            <w:shd w:val="clear" w:color="auto" w:fill="E8EAF1"/>
          </w:tcPr>
          <w:p>
            <w:r/>
            <w:r>
              <w:rPr>
                <w:b/>
                <w:sz w:val="15"/>
              </w:rPr>
              <w:t>Quantity held</w:t>
            </w:r>
          </w:p>
        </w:tc>
        <w:tc>
          <w:tcPr>
            <w:tcW w:type="dxa" w:w="1191"/>
            <w:shd w:val="clear" w:color="auto" w:fill="E8EAF1"/>
          </w:tcPr>
          <w:p>
            <w:r/>
            <w:r>
              <w:rPr>
                <w:b/>
                <w:sz w:val="15"/>
              </w:rPr>
              <w:t>COSHH assessment ref</w:t>
            </w:r>
          </w:p>
        </w:tc>
        <w:tc>
          <w:tcPr>
            <w:tcW w:type="dxa" w:w="1020"/>
            <w:shd w:val="clear" w:color="auto" w:fill="E8EAF1"/>
          </w:tcPr>
          <w:p>
            <w:r/>
            <w:r>
              <w:rPr>
                <w:b/>
                <w:sz w:val="15"/>
              </w:rPr>
              <w:t>Review due</w:t>
            </w:r>
          </w:p>
        </w:tc>
        <w:tc>
          <w:tcPr>
            <w:tcW w:type="dxa" w:w="1191"/>
            <w:shd w:val="clear" w:color="auto" w:fill="E8EAF1"/>
          </w:tcPr>
          <w:p>
            <w:r/>
            <w:r>
              <w:rPr>
                <w:b/>
                <w:sz w:val="15"/>
              </w:rPr>
              <w:t>Checked: date, by</w:t>
            </w:r>
          </w:p>
        </w:tc>
        <w:tc>
          <w:tcPr>
            <w:tcW w:type="dxa" w:w="964"/>
            <w:shd w:val="clear" w:color="auto" w:fill="E8EAF1"/>
          </w:tcPr>
          <w:p>
            <w:r/>
            <w:r>
              <w:rPr>
                <w:b/>
                <w:sz w:val="15"/>
              </w:rPr>
              <w:t>Withdrawn</w:t>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r>
        <w:tc>
          <w:tcPr>
            <w:tcW w:type="dxa" w:w="1701"/>
          </w:tcPr>
          <w:p>
            <w:pPr>
              <w:spacing w:after="20"/>
            </w:pPr>
            <w:r/>
            <w:r>
              <w:rPr>
                <w:sz w:val="15"/>
              </w:rPr>
            </w:r>
          </w:p>
        </w:tc>
        <w:tc>
          <w:tcPr>
            <w:tcW w:type="dxa" w:w="1304"/>
          </w:tcPr>
          <w:p>
            <w:pPr>
              <w:spacing w:after="20"/>
            </w:pPr>
            <w:r/>
            <w:r>
              <w:rPr>
                <w:sz w:val="15"/>
              </w:rPr>
            </w:r>
          </w:p>
        </w:tc>
        <w:tc>
          <w:tcPr>
            <w:tcW w:type="dxa" w:w="1701"/>
          </w:tcPr>
          <w:p>
            <w:pPr>
              <w:spacing w:after="20"/>
            </w:pPr>
            <w:r/>
            <w:r>
              <w:rPr>
                <w:sz w:val="15"/>
              </w:rPr>
            </w:r>
          </w:p>
        </w:tc>
        <w:tc>
          <w:tcPr>
            <w:tcW w:type="dxa" w:w="1304"/>
          </w:tcPr>
          <w:p>
            <w:pPr>
              <w:spacing w:after="20"/>
            </w:pPr>
            <w:r/>
            <w:r>
              <w:rPr>
                <w:sz w:val="15"/>
              </w:rPr>
            </w:r>
          </w:p>
        </w:tc>
        <w:tc>
          <w:tcPr>
            <w:tcW w:type="dxa" w:w="1020"/>
          </w:tcPr>
          <w:p>
            <w:pPr>
              <w:spacing w:after="20"/>
            </w:pPr>
            <w:r/>
            <w:r>
              <w:rPr>
                <w:sz w:val="15"/>
              </w:rPr>
            </w:r>
          </w:p>
        </w:tc>
        <w:tc>
          <w:tcPr>
            <w:tcW w:type="dxa" w:w="794"/>
          </w:tcPr>
          <w:p>
            <w:pPr>
              <w:spacing w:after="20"/>
            </w:pPr>
            <w:r/>
            <w:r>
              <w:rPr>
                <w:sz w:val="15"/>
              </w:rPr>
            </w:r>
          </w:p>
        </w:tc>
        <w:tc>
          <w:tcPr>
            <w:tcW w:type="dxa" w:w="1474"/>
          </w:tcPr>
          <w:p>
            <w:pPr>
              <w:spacing w:after="20"/>
            </w:pPr>
            <w:r/>
            <w:r>
              <w:rPr>
                <w:sz w:val="15"/>
              </w:rPr>
            </w:r>
          </w:p>
        </w:tc>
        <w:tc>
          <w:tcPr>
            <w:tcW w:type="dxa" w:w="907"/>
          </w:tcPr>
          <w:p>
            <w:pPr>
              <w:spacing w:after="20"/>
            </w:pPr>
            <w:r/>
            <w:r>
              <w:rPr>
                <w:sz w:val="15"/>
              </w:rPr>
            </w:r>
          </w:p>
        </w:tc>
        <w:tc>
          <w:tcPr>
            <w:tcW w:type="dxa" w:w="907"/>
          </w:tcPr>
          <w:p>
            <w:pPr>
              <w:spacing w:after="20"/>
            </w:pPr>
            <w:r/>
            <w:r>
              <w:rPr>
                <w:sz w:val="15"/>
              </w:rPr>
            </w:r>
          </w:p>
        </w:tc>
        <w:tc>
          <w:tcPr>
            <w:tcW w:type="dxa" w:w="1191"/>
          </w:tcPr>
          <w:p>
            <w:pPr>
              <w:spacing w:after="20"/>
            </w:pPr>
            <w:r/>
            <w:r>
              <w:rPr>
                <w:sz w:val="15"/>
              </w:rPr>
            </w:r>
          </w:p>
        </w:tc>
        <w:tc>
          <w:tcPr>
            <w:tcW w:type="dxa" w:w="1020"/>
          </w:tcPr>
          <w:p>
            <w:pPr>
              <w:spacing w:after="20"/>
            </w:pPr>
            <w:r/>
            <w:r>
              <w:rPr>
                <w:sz w:val="15"/>
              </w:rPr>
            </w:r>
          </w:p>
        </w:tc>
        <w:tc>
          <w:tcPr>
            <w:tcW w:type="dxa" w:w="1191"/>
          </w:tcPr>
          <w:p>
            <w:pPr>
              <w:spacing w:after="20"/>
            </w:pPr>
            <w:r/>
            <w:r>
              <w:rPr>
                <w:sz w:val="15"/>
              </w:rPr>
            </w:r>
          </w:p>
        </w:tc>
        <w:tc>
          <w:tcPr>
            <w:tcW w:type="dxa" w:w="964"/>
          </w:tcPr>
          <w:p>
            <w:pPr>
              <w:spacing w:after="20"/>
            </w:pPr>
            <w:r/>
            <w:r>
              <w:rPr>
                <w:sz w:val="15"/>
              </w:rPr>
            </w:r>
          </w:p>
        </w:tc>
      </w:tr>
    </w:tbl>
    <w:p/>
    <w:p>
      <w:r>
        <w:br w:type="page"/>
      </w:r>
    </w:p>
    <w:p>
      <w:pPr>
        <w:spacing w:after="0"/>
      </w:pPr>
      <w:r>
        <w:rPr>
          <w:b/>
          <w:color w:val="14214D"/>
          <w:sz w:val="16"/>
        </w:rPr>
        <w:t>DATA SHEET UPDATES</w:t>
      </w:r>
    </w:p>
    <w:p>
      <w:pPr>
        <w:pStyle w:val="Heading1"/>
      </w:pPr>
      <w:r>
        <w:t>Data sheets received</w:t>
      </w:r>
    </w:p>
    <w:tbl>
      <w:tblPr>
        <w:tblStyle w:val="TableGrid"/>
        <w:tblW w:type="auto" w:w="0"/>
        <w:jc w:val="center"/>
        <w:tblLook w:firstColumn="1" w:firstRow="1" w:lastColumn="0" w:lastRow="0" w:noHBand="0" w:noVBand="1" w:val="04A0"/>
      </w:tblPr>
      <w:tblGrid>
        <w:gridCol w:w="3096"/>
        <w:gridCol w:w="3096"/>
        <w:gridCol w:w="3096"/>
        <w:gridCol w:w="3096"/>
        <w:gridCol w:w="3096"/>
      </w:tblGrid>
      <w:tr>
        <w:trPr>
          <w:tblHeader w:val="true"/>
        </w:trPr>
        <w:tc>
          <w:tcPr>
            <w:tcW w:type="dxa" w:w="2041"/>
            <w:shd w:val="clear" w:color="auto" w:fill="E8EAF1"/>
          </w:tcPr>
          <w:p>
            <w:r/>
            <w:r>
              <w:rPr>
                <w:b/>
                <w:sz w:val="17"/>
              </w:rPr>
              <w:t>Received</w:t>
            </w:r>
          </w:p>
        </w:tc>
        <w:tc>
          <w:tcPr>
            <w:tcW w:type="dxa" w:w="3175"/>
            <w:shd w:val="clear" w:color="auto" w:fill="E8EAF1"/>
          </w:tcPr>
          <w:p>
            <w:r/>
            <w:r>
              <w:rPr>
                <w:b/>
                <w:sz w:val="17"/>
              </w:rPr>
              <w:t>Product</w:t>
            </w:r>
          </w:p>
        </w:tc>
        <w:tc>
          <w:tcPr>
            <w:tcW w:type="dxa" w:w="2381"/>
            <w:shd w:val="clear" w:color="auto" w:fill="E8EAF1"/>
          </w:tcPr>
          <w:p>
            <w:r/>
            <w:r>
              <w:rPr>
                <w:b/>
                <w:sz w:val="17"/>
              </w:rPr>
              <w:t>New date or version</w:t>
            </w:r>
          </w:p>
        </w:tc>
        <w:tc>
          <w:tcPr>
            <w:tcW w:type="dxa" w:w="5102"/>
            <w:shd w:val="clear" w:color="auto" w:fill="E8EAF1"/>
          </w:tcPr>
          <w:p>
            <w:r/>
            <w:r>
              <w:rPr>
                <w:b/>
                <w:sz w:val="17"/>
              </w:rPr>
              <w:t>What changed</w:t>
            </w:r>
          </w:p>
        </w:tc>
        <w:tc>
          <w:tcPr>
            <w:tcW w:type="dxa" w:w="2778"/>
            <w:shd w:val="clear" w:color="auto" w:fill="E8EAF1"/>
          </w:tcPr>
          <w:p>
            <w:r/>
            <w:r>
              <w:rPr>
                <w:b/>
                <w:sz w:val="17"/>
              </w:rPr>
              <w:t>Assessment checked, by</w:t>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r>
        <w:tc>
          <w:tcPr>
            <w:tcW w:type="dxa" w:w="2041"/>
          </w:tcPr>
          <w:p>
            <w:pPr>
              <w:spacing w:after="20"/>
            </w:pPr>
            <w:r/>
            <w:r>
              <w:rPr>
                <w:sz w:val="17"/>
              </w:rPr>
            </w:r>
          </w:p>
        </w:tc>
        <w:tc>
          <w:tcPr>
            <w:tcW w:type="dxa" w:w="3175"/>
          </w:tcPr>
          <w:p>
            <w:pPr>
              <w:spacing w:after="20"/>
            </w:pPr>
            <w:r/>
            <w:r>
              <w:rPr>
                <w:sz w:val="17"/>
              </w:rPr>
            </w:r>
          </w:p>
        </w:tc>
        <w:tc>
          <w:tcPr>
            <w:tcW w:type="dxa" w:w="2381"/>
          </w:tcPr>
          <w:p>
            <w:pPr>
              <w:spacing w:after="20"/>
            </w:pPr>
            <w:r/>
            <w:r>
              <w:rPr>
                <w:sz w:val="17"/>
              </w:rPr>
            </w:r>
          </w:p>
        </w:tc>
        <w:tc>
          <w:tcPr>
            <w:tcW w:type="dxa" w:w="5102"/>
          </w:tcPr>
          <w:p>
            <w:pPr>
              <w:spacing w:after="20"/>
            </w:pPr>
            <w:r/>
            <w:r>
              <w:rPr>
                <w:sz w:val="17"/>
              </w:rPr>
            </w:r>
          </w:p>
        </w:tc>
        <w:tc>
          <w:tcPr>
            <w:tcW w:type="dxa" w:w="2778"/>
          </w:tcPr>
          <w:p>
            <w:pPr>
              <w:spacing w:after="20"/>
            </w:pPr>
            <w:r/>
            <w:r>
              <w:rPr>
                <w:sz w:val="17"/>
              </w:rPr>
            </w:r>
          </w:p>
        </w:tc>
      </w:tr>
    </w:tbl>
    <w:p/>
    <w:p>
      <w:pPr>
        <w:spacing w:after="0"/>
      </w:pPr>
      <w:r>
        <w:rPr>
          <w:b/>
          <w:color w:val="14214D"/>
          <w:sz w:val="16"/>
        </w:rPr>
        <w:t>ASSESSMENT REVIEWS</w:t>
      </w:r>
    </w:p>
    <w:p>
      <w:pPr>
        <w:pStyle w:val="Heading1"/>
      </w:pPr>
      <w:r>
        <w:t>COSHH assessments reviewed</w:t>
      </w:r>
    </w:p>
    <w:tbl>
      <w:tblPr>
        <w:tblStyle w:val="TableGrid"/>
        <w:tblW w:type="auto" w:w="0"/>
        <w:jc w:val="center"/>
        <w:tblLook w:firstColumn="1" w:firstRow="1" w:lastColumn="0" w:lastRow="0" w:noHBand="0" w:noVBand="1" w:val="04A0"/>
      </w:tblPr>
      <w:tblGrid>
        <w:gridCol w:w="2580"/>
        <w:gridCol w:w="2580"/>
        <w:gridCol w:w="2580"/>
        <w:gridCol w:w="2580"/>
        <w:gridCol w:w="2580"/>
        <w:gridCol w:w="2580"/>
      </w:tblGrid>
      <w:tr>
        <w:trPr>
          <w:tblHeader w:val="true"/>
        </w:trPr>
        <w:tc>
          <w:tcPr>
            <w:tcW w:type="dxa" w:w="1701"/>
            <w:shd w:val="clear" w:color="auto" w:fill="E8EAF1"/>
          </w:tcPr>
          <w:p>
            <w:r/>
            <w:r>
              <w:rPr>
                <w:b/>
                <w:sz w:val="17"/>
              </w:rPr>
              <w:t>Date</w:t>
            </w:r>
          </w:p>
        </w:tc>
        <w:tc>
          <w:tcPr>
            <w:tcW w:type="dxa" w:w="2268"/>
            <w:shd w:val="clear" w:color="auto" w:fill="E8EAF1"/>
          </w:tcPr>
          <w:p>
            <w:r/>
            <w:r>
              <w:rPr>
                <w:b/>
                <w:sz w:val="17"/>
              </w:rPr>
              <w:t>Assessment ref</w:t>
            </w:r>
          </w:p>
        </w:tc>
        <w:tc>
          <w:tcPr>
            <w:tcW w:type="dxa" w:w="2835"/>
            <w:shd w:val="clear" w:color="auto" w:fill="E8EAF1"/>
          </w:tcPr>
          <w:p>
            <w:r/>
            <w:r>
              <w:rPr>
                <w:b/>
                <w:sz w:val="17"/>
              </w:rPr>
              <w:t>Reason</w:t>
            </w:r>
          </w:p>
        </w:tc>
        <w:tc>
          <w:tcPr>
            <w:tcW w:type="dxa" w:w="4535"/>
            <w:shd w:val="clear" w:color="auto" w:fill="E8EAF1"/>
          </w:tcPr>
          <w:p>
            <w:r/>
            <w:r>
              <w:rPr>
                <w:b/>
                <w:sz w:val="17"/>
              </w:rPr>
              <w:t>Outcome</w:t>
            </w:r>
          </w:p>
        </w:tc>
        <w:tc>
          <w:tcPr>
            <w:tcW w:type="dxa" w:w="2041"/>
            <w:shd w:val="clear" w:color="auto" w:fill="E8EAF1"/>
          </w:tcPr>
          <w:p>
            <w:r/>
            <w:r>
              <w:rPr>
                <w:b/>
                <w:sz w:val="17"/>
              </w:rPr>
              <w:t>By</w:t>
            </w:r>
          </w:p>
        </w:tc>
        <w:tc>
          <w:tcPr>
            <w:tcW w:type="dxa" w:w="2098"/>
            <w:shd w:val="clear" w:color="auto" w:fill="E8EAF1"/>
          </w:tcPr>
          <w:p>
            <w:r/>
            <w:r>
              <w:rPr>
                <w:b/>
                <w:sz w:val="17"/>
              </w:rPr>
              <w:t>Next due</w:t>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r>
        <w:tc>
          <w:tcPr>
            <w:tcW w:type="dxa" w:w="1701"/>
          </w:tcPr>
          <w:p>
            <w:pPr>
              <w:spacing w:after="20"/>
            </w:pPr>
            <w:r/>
            <w:r>
              <w:rPr>
                <w:sz w:val="17"/>
              </w:rPr>
            </w:r>
          </w:p>
        </w:tc>
        <w:tc>
          <w:tcPr>
            <w:tcW w:type="dxa" w:w="2268"/>
          </w:tcPr>
          <w:p>
            <w:pPr>
              <w:spacing w:after="20"/>
            </w:pPr>
            <w:r/>
            <w:r>
              <w:rPr>
                <w:sz w:val="17"/>
              </w:rPr>
            </w:r>
          </w:p>
        </w:tc>
        <w:tc>
          <w:tcPr>
            <w:tcW w:type="dxa" w:w="2835"/>
          </w:tcPr>
          <w:p>
            <w:pPr>
              <w:spacing w:after="20"/>
            </w:pPr>
            <w:r/>
            <w:r>
              <w:rPr>
                <w:sz w:val="17"/>
              </w:rPr>
            </w:r>
          </w:p>
        </w:tc>
        <w:tc>
          <w:tcPr>
            <w:tcW w:type="dxa" w:w="4535"/>
          </w:tcPr>
          <w:p>
            <w:pPr>
              <w:spacing w:after="20"/>
            </w:pPr>
            <w:r/>
            <w:r>
              <w:rPr>
                <w:sz w:val="17"/>
              </w:rPr>
            </w:r>
          </w:p>
        </w:tc>
        <w:tc>
          <w:tcPr>
            <w:tcW w:type="dxa" w:w="2041"/>
          </w:tcPr>
          <w:p>
            <w:pPr>
              <w:spacing w:after="20"/>
            </w:pPr>
            <w:r/>
            <w:r>
              <w:rPr>
                <w:sz w:val="17"/>
              </w:rPr>
            </w:r>
          </w:p>
        </w:tc>
        <w:tc>
          <w:tcPr>
            <w:tcW w:type="dxa" w:w="2098"/>
          </w:tcPr>
          <w:p>
            <w:pPr>
              <w:spacing w:after="20"/>
            </w:pPr>
            <w:r/>
            <w:r>
              <w:rPr>
                <w:sz w:val="17"/>
              </w:rPr>
            </w:r>
          </w:p>
        </w:tc>
      </w:tr>
    </w:tbl>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unibuild.co.uk/downloads/coshh-register-template/.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COSHH register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 register template, free editable Word document</dc:title>
  <dc:subject>A free editable COSHH register template for UK trades: every hazardous substance held, its supplier, data sheet date, main hazard, WEL, storage, COSHH assessment and review date, with update and review logs.</dc:subject>
  <dc:creator>Unibuild</dc:creator>
  <cp:keywords>COSHH register template, COSHH register, COSHH inventory template, hazardous substances register, COSHH register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