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Social rented home, England. Awaab’s Law phase 1 and phase 2.</w:t>
      </w:r>
    </w:p>
    <w:p>
      <w:pPr>
        <w:pStyle w:val="Title"/>
      </w:pPr>
      <w:r>
        <w:t>Awaab’s Law hazard report</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515"/>
            <w:shd w:val="clear" w:color="auto" w:fill="E8EAF1"/>
          </w:tcPr>
          <w:p>
            <w:r/>
            <w:r>
              <w:rPr>
                <w:b/>
                <w:sz w:val="19"/>
              </w:rPr>
              <w:t>Detail</w:t>
            </w:r>
          </w:p>
        </w:tc>
        <w:tc>
          <w:tcPr>
            <w:tcW w:type="dxa" w:w="6576"/>
            <w:shd w:val="clear" w:color="auto" w:fill="E8EAF1"/>
          </w:tcPr>
          <w:p>
            <w:r/>
            <w:r>
              <w:rPr>
                <w:b/>
                <w:sz w:val="19"/>
              </w:rPr>
              <w:t>Entry</w:t>
            </w:r>
          </w:p>
        </w:tc>
      </w:tr>
      <w:tr>
        <w:tc>
          <w:tcPr>
            <w:tcW w:type="dxa" w:w="3515"/>
          </w:tcPr>
          <w:p>
            <w:pPr>
              <w:spacing w:after="20"/>
            </w:pPr>
            <w:r/>
            <w:r>
              <w:rPr>
                <w:sz w:val="19"/>
              </w:rPr>
              <w:t>Landlord</w:t>
            </w:r>
          </w:p>
        </w:tc>
        <w:tc>
          <w:tcPr>
            <w:tcW w:type="dxa" w:w="6576"/>
          </w:tcPr>
          <w:p>
            <w:pPr>
              <w:spacing w:after="20"/>
            </w:pPr>
            <w:r/>
            <w:r>
              <w:rPr>
                <w:sz w:val="19"/>
              </w:rPr>
            </w:r>
          </w:p>
        </w:tc>
      </w:tr>
      <w:tr>
        <w:tc>
          <w:tcPr>
            <w:tcW w:type="dxa" w:w="3515"/>
          </w:tcPr>
          <w:p>
            <w:pPr>
              <w:spacing w:after="20"/>
            </w:pPr>
            <w:r/>
            <w:r>
              <w:rPr>
                <w:sz w:val="19"/>
              </w:rPr>
              <w:t>Work order reference</w:t>
            </w:r>
          </w:p>
        </w:tc>
        <w:tc>
          <w:tcPr>
            <w:tcW w:type="dxa" w:w="6576"/>
          </w:tcPr>
          <w:p>
            <w:pPr>
              <w:spacing w:after="20"/>
            </w:pPr>
            <w:r/>
            <w:r>
              <w:rPr>
                <w:sz w:val="19"/>
              </w:rPr>
            </w:r>
          </w:p>
        </w:tc>
      </w:tr>
      <w:tr>
        <w:tc>
          <w:tcPr>
            <w:tcW w:type="dxa" w:w="3515"/>
          </w:tcPr>
          <w:p>
            <w:pPr>
              <w:spacing w:after="20"/>
            </w:pPr>
            <w:r/>
            <w:r>
              <w:rPr>
                <w:sz w:val="19"/>
              </w:rPr>
              <w:t>Visit date</w:t>
            </w:r>
          </w:p>
        </w:tc>
        <w:tc>
          <w:tcPr>
            <w:tcW w:type="dxa" w:w="6576"/>
          </w:tcPr>
          <w:p>
            <w:pPr>
              <w:spacing w:after="20"/>
            </w:pPr>
            <w:r/>
            <w:r>
              <w:rPr>
                <w:sz w:val="19"/>
              </w:rPr>
            </w:r>
          </w:p>
        </w:tc>
      </w:tr>
      <w:tr>
        <w:tc>
          <w:tcPr>
            <w:tcW w:type="dxa" w:w="3515"/>
          </w:tcPr>
          <w:p>
            <w:pPr>
              <w:spacing w:after="20"/>
            </w:pPr>
            <w:r/>
            <w:r>
              <w:rPr>
                <w:sz w:val="19"/>
              </w:rPr>
              <w:t>Engineer</w:t>
            </w:r>
          </w:p>
        </w:tc>
        <w:tc>
          <w:tcPr>
            <w:tcW w:type="dxa" w:w="6576"/>
          </w:tcPr>
          <w:p>
            <w:pPr>
              <w:spacing w:after="20"/>
            </w:pPr>
            <w:r/>
            <w:r>
              <w:rPr>
                <w:sz w:val="19"/>
              </w:rPr>
            </w:r>
          </w:p>
        </w:tc>
      </w:tr>
      <w:tr>
        <w:tc>
          <w:tcPr>
            <w:tcW w:type="dxa" w:w="3515"/>
          </w:tcPr>
          <w:p>
            <w:pPr>
              <w:spacing w:after="20"/>
            </w:pPr>
            <w:r/>
            <w:r>
              <w:rPr>
                <w:sz w:val="19"/>
              </w:rPr>
              <w:t>Trade and company</w:t>
            </w:r>
          </w:p>
        </w:tc>
        <w:tc>
          <w:tcPr>
            <w:tcW w:type="dxa" w:w="6576"/>
          </w:tcPr>
          <w:p>
            <w:pPr>
              <w:spacing w:after="20"/>
            </w:pPr>
            <w:r/>
            <w:r>
              <w:rPr>
                <w:sz w:val="19"/>
              </w:rPr>
            </w:r>
          </w:p>
        </w:tc>
      </w:tr>
      <w:tr>
        <w:tc>
          <w:tcPr>
            <w:tcW w:type="dxa" w:w="3515"/>
          </w:tcPr>
          <w:p>
            <w:pPr>
              <w:spacing w:after="20"/>
            </w:pPr>
            <w:r/>
            <w:r>
              <w:rPr>
                <w:sz w:val="19"/>
              </w:rPr>
              <w:t>Arrival and departure</w:t>
            </w:r>
          </w:p>
        </w:tc>
        <w:tc>
          <w:tcPr>
            <w:tcW w:type="dxa" w:w="6576"/>
          </w:tcPr>
          <w:p>
            <w:pPr>
              <w:spacing w:after="20"/>
            </w:pPr>
            <w:r/>
            <w:r>
              <w:rPr>
                <w:sz w:val="19"/>
              </w:rPr>
            </w:r>
          </w:p>
        </w:tc>
      </w:tr>
      <w:tr>
        <w:tc>
          <w:tcPr>
            <w:tcW w:type="dxa" w:w="3515"/>
          </w:tcPr>
          <w:p>
            <w:pPr>
              <w:spacing w:after="20"/>
            </w:pPr>
            <w:r/>
            <w:r>
              <w:rPr>
                <w:sz w:val="19"/>
              </w:rPr>
              <w:t>Property address</w:t>
            </w:r>
          </w:p>
        </w:tc>
        <w:tc>
          <w:tcPr>
            <w:tcW w:type="dxa" w:w="6576"/>
          </w:tcPr>
          <w:p>
            <w:pPr>
              <w:spacing w:after="20"/>
            </w:pPr>
            <w:r/>
            <w:r>
              <w:rPr>
                <w:sz w:val="19"/>
              </w:rPr>
            </w:r>
          </w:p>
        </w:tc>
      </w:tr>
      <w:tr>
        <w:tc>
          <w:tcPr>
            <w:tcW w:type="dxa" w:w="3515"/>
          </w:tcPr>
          <w:p>
            <w:pPr>
              <w:spacing w:after="20"/>
            </w:pPr>
            <w:r/>
            <w:r>
              <w:rPr>
                <w:sz w:val="19"/>
              </w:rPr>
              <w:t>Postcode</w:t>
            </w:r>
          </w:p>
        </w:tc>
        <w:tc>
          <w:tcPr>
            <w:tcW w:type="dxa" w:w="6576"/>
          </w:tcPr>
          <w:p>
            <w:pPr>
              <w:spacing w:after="20"/>
            </w:pPr>
            <w:r/>
            <w:r>
              <w:rPr>
                <w:sz w:val="19"/>
              </w:rPr>
            </w:r>
          </w:p>
        </w:tc>
      </w:tr>
      <w:tr>
        <w:tc>
          <w:tcPr>
            <w:tcW w:type="dxa" w:w="3515"/>
          </w:tcPr>
          <w:p>
            <w:pPr>
              <w:spacing w:after="20"/>
            </w:pPr>
            <w:r/>
            <w:r>
              <w:rPr>
                <w:sz w:val="19"/>
              </w:rPr>
              <w:t>Resident or contact</w:t>
            </w:r>
          </w:p>
        </w:tc>
        <w:tc>
          <w:tcPr>
            <w:tcW w:type="dxa" w:w="6576"/>
          </w:tcPr>
          <w:p>
            <w:pPr>
              <w:spacing w:after="20"/>
            </w:pPr>
            <w:r/>
            <w:r>
              <w:rPr>
                <w:sz w:val="19"/>
              </w:rPr>
            </w:r>
          </w:p>
        </w:tc>
      </w:tr>
      <w:tr>
        <w:tc>
          <w:tcPr>
            <w:tcW w:type="dxa" w:w="3515"/>
          </w:tcPr>
          <w:p>
            <w:pPr>
              <w:spacing w:after="20"/>
            </w:pPr>
            <w:r/>
            <w:r>
              <w:rPr>
                <w:sz w:val="19"/>
              </w:rPr>
              <w:t>Telephone</w:t>
            </w:r>
          </w:p>
        </w:tc>
        <w:tc>
          <w:tcPr>
            <w:tcW w:type="dxa" w:w="6576"/>
          </w:tcPr>
          <w:p>
            <w:pPr>
              <w:spacing w:after="20"/>
            </w:pPr>
            <w:r/>
            <w:r>
              <w:rPr>
                <w:sz w:val="19"/>
              </w:rPr>
            </w:r>
          </w:p>
        </w:tc>
      </w:tr>
      <w:tr>
        <w:tc>
          <w:tcPr>
            <w:tcW w:type="dxa" w:w="3515"/>
          </w:tcPr>
          <w:p>
            <w:pPr>
              <w:spacing w:after="20"/>
            </w:pPr>
            <w:r/>
            <w:r>
              <w:rPr>
                <w:sz w:val="19"/>
              </w:rPr>
              <w:t>The job you were sent to do</w:t>
            </w:r>
          </w:p>
        </w:tc>
        <w:tc>
          <w:tcPr>
            <w:tcW w:type="dxa" w:w="6576"/>
          </w:tcPr>
          <w:p>
            <w:pPr>
              <w:spacing w:after="20"/>
            </w:pPr>
            <w:r/>
            <w:r>
              <w:rPr>
                <w:sz w:val="19"/>
              </w:rPr>
            </w:r>
          </w:p>
        </w:tc>
      </w:tr>
      <w:tr>
        <w:tc>
          <w:tcPr>
            <w:tcW w:type="dxa" w:w="3515"/>
          </w:tcPr>
          <w:p>
            <w:pPr>
              <w:spacing w:after="20"/>
            </w:pPr>
            <w:r/>
            <w:r>
              <w:rPr>
                <w:sz w:val="19"/>
              </w:rPr>
              <w:t>Rooms visited</w:t>
            </w:r>
          </w:p>
        </w:tc>
        <w:tc>
          <w:tcPr>
            <w:tcW w:type="dxa" w:w="6576"/>
          </w:tcPr>
          <w:p>
            <w:pPr>
              <w:spacing w:after="20"/>
            </w:pPr>
            <w:r/>
            <w:r>
              <w:rPr>
                <w:sz w:val="19"/>
              </w:rPr>
            </w:r>
          </w:p>
        </w:tc>
      </w:tr>
    </w:tbl>
    <w:p/>
    <w:p>
      <w:r>
        <w:rPr>
          <w:b/>
          <w:color w:val="14214D"/>
          <w:sz w:val="18"/>
        </w:rPr>
        <w:t xml:space="preserve">The rule.  </w:t>
      </w:r>
      <w:r>
        <w:rPr>
          <w:sz w:val="18"/>
        </w:rPr>
        <w:t>The engineer records and reports. The landlord decides whether a hazard is an emergency or significant hazard under Awaab’s Law. Report anything you see or are told about, whatever the job sheet says. A suspected emergency is reported at once by phone, as well as on this form. Report from the property, the same day: the landlord may be treated as aware from the moment you saw it.</w:t>
      </w:r>
    </w:p>
    <w:p>
      <w:pPr>
        <w:pStyle w:val="Heading2"/>
      </w:pPr>
      <w:r>
        <w:t>At the visit</w:t>
      </w:r>
    </w:p>
    <w:p>
      <w:r>
        <w:rPr>
          <w:i w:val="0"/>
          <w:color w:val="6B6B6B"/>
          <w:sz w:val="18"/>
        </w:rPr>
        <w:t>Tick each one done. Record what you see and hear, not a diagnosis.</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907"/>
            <w:shd w:val="clear" w:color="auto" w:fill="E8EAF1"/>
          </w:tcPr>
          <w:p>
            <w:r/>
            <w:r>
              <w:rPr>
                <w:b/>
                <w:sz w:val="18"/>
              </w:rPr>
              <w:t>Done</w:t>
            </w:r>
          </w:p>
        </w:tc>
        <w:tc>
          <w:tcPr>
            <w:tcW w:type="dxa" w:w="9184"/>
            <w:shd w:val="clear" w:color="auto" w:fill="E8EAF1"/>
          </w:tcPr>
          <w:p>
            <w:r/>
            <w:r>
              <w:rPr>
                <w:b/>
                <w:sz w:val="18"/>
              </w:rPr>
              <w:t>Check</w:t>
            </w:r>
          </w:p>
        </w:tc>
      </w:tr>
      <w:tr>
        <w:tc>
          <w:tcPr>
            <w:tcW w:type="dxa" w:w="907"/>
          </w:tcPr>
          <w:p>
            <w:pPr>
              <w:spacing w:after="20"/>
            </w:pPr>
            <w:r/>
            <w:r>
              <w:rPr>
                <w:sz w:val="18"/>
              </w:rPr>
              <w:t>☐</w:t>
            </w:r>
          </w:p>
        </w:tc>
        <w:tc>
          <w:tcPr>
            <w:tcW w:type="dxa" w:w="9184"/>
          </w:tcPr>
          <w:p>
            <w:pPr>
              <w:spacing w:after="20"/>
            </w:pPr>
            <w:r/>
            <w:r>
              <w:rPr>
                <w:sz w:val="18"/>
              </w:rPr>
              <w:t>Looked beyond the job sheet: the access route and the work area, not only the item on the order</w:t>
            </w:r>
          </w:p>
        </w:tc>
      </w:tr>
      <w:tr>
        <w:tc>
          <w:tcPr>
            <w:tcW w:type="dxa" w:w="907"/>
          </w:tcPr>
          <w:p>
            <w:pPr>
              <w:spacing w:after="20"/>
            </w:pPr>
            <w:r/>
            <w:r>
              <w:rPr>
                <w:sz w:val="18"/>
              </w:rPr>
              <w:t>☐</w:t>
            </w:r>
          </w:p>
        </w:tc>
        <w:tc>
          <w:tcPr>
            <w:tcW w:type="dxa" w:w="9184"/>
          </w:tcPr>
          <w:p>
            <w:pPr>
              <w:spacing w:after="20"/>
            </w:pPr>
            <w:r/>
            <w:r>
              <w:rPr>
                <w:sz w:val="18"/>
              </w:rPr>
              <w:t>Asked the resident about the history: new, recurring, getting worse, reported or repaired before</w:t>
            </w:r>
          </w:p>
        </w:tc>
      </w:tr>
      <w:tr>
        <w:tc>
          <w:tcPr>
            <w:tcW w:type="dxa" w:w="907"/>
          </w:tcPr>
          <w:p>
            <w:pPr>
              <w:spacing w:after="20"/>
            </w:pPr>
            <w:r/>
            <w:r>
              <w:rPr>
                <w:sz w:val="18"/>
              </w:rPr>
              <w:t>☐</w:t>
            </w:r>
          </w:p>
        </w:tc>
        <w:tc>
          <w:tcPr>
            <w:tcW w:type="dxa" w:w="9184"/>
          </w:tcPr>
          <w:p>
            <w:pPr>
              <w:spacing w:after="20"/>
            </w:pPr>
            <w:r/>
            <w:r>
              <w:rPr>
                <w:sz w:val="18"/>
              </w:rPr>
              <w:t>Noted who lives there: children, older people, health or disability, as the resident described them</w:t>
            </w:r>
          </w:p>
        </w:tc>
      </w:tr>
      <w:tr>
        <w:tc>
          <w:tcPr>
            <w:tcW w:type="dxa" w:w="907"/>
          </w:tcPr>
          <w:p>
            <w:pPr>
              <w:spacing w:after="20"/>
            </w:pPr>
            <w:r/>
            <w:r>
              <w:rPr>
                <w:sz w:val="18"/>
              </w:rPr>
              <w:t>☐</w:t>
            </w:r>
          </w:p>
        </w:tc>
        <w:tc>
          <w:tcPr>
            <w:tcW w:type="dxa" w:w="9184"/>
          </w:tcPr>
          <w:p>
            <w:pPr>
              <w:spacing w:after="20"/>
            </w:pPr>
            <w:r/>
            <w:r>
              <w:rPr>
                <w:sz w:val="18"/>
              </w:rPr>
              <w:t>Took photographs with consent: before any work, and again after the make safe</w:t>
            </w:r>
          </w:p>
        </w:tc>
      </w:tr>
      <w:tr>
        <w:tc>
          <w:tcPr>
            <w:tcW w:type="dxa" w:w="907"/>
          </w:tcPr>
          <w:p>
            <w:pPr>
              <w:spacing w:after="20"/>
            </w:pPr>
            <w:r/>
            <w:r>
              <w:rPr>
                <w:sz w:val="18"/>
              </w:rPr>
              <w:t>☐</w:t>
            </w:r>
          </w:p>
        </w:tc>
        <w:tc>
          <w:tcPr>
            <w:tcW w:type="dxa" w:w="9184"/>
          </w:tcPr>
          <w:p>
            <w:pPr>
              <w:spacing w:after="20"/>
            </w:pPr>
            <w:r/>
            <w:r>
              <w:rPr>
                <w:sz w:val="18"/>
              </w:rPr>
              <w:t>Recorded any refused or part access: with the time, and reported where a risk may remain</w:t>
            </w:r>
          </w:p>
        </w:tc>
      </w:tr>
    </w:tbl>
    <w:p/>
    <w:tbl>
      <w:tblPr>
        <w:tblStyle w:val="TableGrid"/>
        <w:tblW w:type="auto" w:w="0"/>
        <w:jc w:val="center"/>
        <w:tblLook w:firstColumn="1" w:firstRow="1" w:lastColumn="0" w:lastRow="0" w:noHBand="0" w:noVBand="1" w:val="04A0"/>
      </w:tblPr>
      <w:tblGrid>
        <w:gridCol w:w="10092"/>
      </w:tblGrid>
      <w:tr>
        <w:trPr>
          <w:tblHeader w:val="true"/>
        </w:trPr>
        <w:tc>
          <w:tcPr>
            <w:tcW w:type="dxa" w:w="10091"/>
            <w:shd w:val="clear" w:color="auto" w:fill="E8EAF1"/>
          </w:tcPr>
          <w:p>
            <w:r/>
            <w:r>
              <w:rPr>
                <w:b/>
                <w:sz w:val="18"/>
              </w:rPr>
              <w:t>What the resident said, in their words</w:t>
            </w:r>
          </w:p>
        </w:tc>
      </w:tr>
      <w:tr>
        <w:tc>
          <w:tcPr>
            <w:tcW w:type="dxa" w:w="10091"/>
          </w:tcPr>
          <w:p>
            <w:pPr>
              <w:spacing w:after="20"/>
            </w:pPr>
            <w:r/>
            <w:r>
              <w:rPr>
                <w:sz w:val="18"/>
              </w:rPr>
            </w:r>
          </w:p>
          <w:p>
            <w:pPr>
              <w:spacing w:after="20"/>
            </w:pPr>
            <w:r>
              <w:rPr>
                <w:sz w:val="18"/>
              </w:rPr>
            </w:r>
          </w:p>
          <w:p>
            <w:pPr>
              <w:spacing w:after="20"/>
            </w:pPr>
            <w:r>
              <w:rPr>
                <w:sz w:val="18"/>
              </w:rPr>
            </w:r>
          </w:p>
          <w:p>
            <w:pPr>
              <w:spacing w:after="20"/>
            </w:pPr>
            <w:r>
              <w:rPr>
                <w:sz w:val="18"/>
              </w:rPr>
            </w:r>
          </w:p>
        </w:tc>
      </w:tr>
    </w:tbl>
    <w:p/>
    <w:p>
      <w:pPr>
        <w:pStyle w:val="Heading2"/>
      </w:pPr>
      <w:r>
        <w:t>Awaab’s Law: the timescales and the dates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948"/>
            <w:shd w:val="clear" w:color="auto" w:fill="E8EAF1"/>
          </w:tcPr>
          <w:p>
            <w:r/>
            <w:r>
              <w:rPr>
                <w:b/>
                <w:sz w:val="17"/>
              </w:rPr>
              <w:t>Key fact</w:t>
            </w:r>
          </w:p>
        </w:tc>
        <w:tc>
          <w:tcPr>
            <w:tcW w:type="dxa" w:w="5102"/>
            <w:shd w:val="clear" w:color="auto" w:fill="E8EAF1"/>
          </w:tcPr>
          <w:p>
            <w:r/>
            <w:r>
              <w:rPr>
                <w:b/>
                <w:sz w:val="17"/>
              </w:rPr>
              <w:t>What it means</w:t>
            </w:r>
          </w:p>
        </w:tc>
        <w:tc>
          <w:tcPr>
            <w:tcW w:type="dxa" w:w="2041"/>
            <w:shd w:val="clear" w:color="auto" w:fill="E8EAF1"/>
          </w:tcPr>
          <w:p>
            <w:r/>
            <w:r>
              <w:rPr>
                <w:b/>
                <w:sz w:val="17"/>
              </w:rPr>
              <w:t>Source</w:t>
            </w:r>
          </w:p>
        </w:tc>
      </w:tr>
      <w:tr>
        <w:tc>
          <w:tcPr>
            <w:tcW w:type="dxa" w:w="2948"/>
          </w:tcPr>
          <w:p>
            <w:pPr>
              <w:spacing w:after="20"/>
            </w:pPr>
            <w:r/>
            <w:r>
              <w:rPr>
                <w:sz w:val="17"/>
              </w:rPr>
              <w:t>Emergency hazard: within 24 hours</w:t>
            </w:r>
          </w:p>
        </w:tc>
        <w:tc>
          <w:tcPr>
            <w:tcW w:type="dxa" w:w="5102"/>
          </w:tcPr>
          <w:p>
            <w:pPr>
              <w:spacing w:after="20"/>
            </w:pPr>
            <w:r/>
            <w:r>
              <w:rPr>
                <w:sz w:val="17"/>
              </w:rPr>
              <w:t>Investigate and complete the safety work within 24 hours of the landlord becoming aware.</w:t>
            </w:r>
          </w:p>
        </w:tc>
        <w:tc>
          <w:tcPr>
            <w:tcW w:type="dxa" w:w="2041"/>
          </w:tcPr>
          <w:p>
            <w:pPr>
              <w:spacing w:after="20"/>
            </w:pPr>
            <w:r/>
            <w:r>
              <w:rPr>
                <w:sz w:val="17"/>
              </w:rPr>
              <w:t>SI 2025/1042 reg 5</w:t>
            </w:r>
          </w:p>
        </w:tc>
      </w:tr>
      <w:tr>
        <w:tc>
          <w:tcPr>
            <w:tcW w:type="dxa" w:w="2948"/>
          </w:tcPr>
          <w:p>
            <w:pPr>
              <w:spacing w:after="20"/>
            </w:pPr>
            <w:r/>
            <w:r>
              <w:rPr>
                <w:sz w:val="17"/>
              </w:rPr>
              <w:t>Significant hazard: 10 working days</w:t>
            </w:r>
          </w:p>
        </w:tc>
        <w:tc>
          <w:tcPr>
            <w:tcW w:type="dxa" w:w="5102"/>
          </w:tcPr>
          <w:p>
            <w:pPr>
              <w:spacing w:after="20"/>
            </w:pPr>
            <w:r/>
            <w:r>
              <w:rPr>
                <w:sz w:val="17"/>
              </w:rPr>
              <w:t>To investigate, counted from the day after the landlord becomes aware.</w:t>
            </w:r>
          </w:p>
        </w:tc>
        <w:tc>
          <w:tcPr>
            <w:tcW w:type="dxa" w:w="2041"/>
          </w:tcPr>
          <w:p>
            <w:pPr>
              <w:spacing w:after="20"/>
            </w:pPr>
            <w:r/>
            <w:r>
              <w:rPr>
                <w:sz w:val="17"/>
              </w:rPr>
              <w:t>SI 2025/1042 reg 6(4)</w:t>
            </w:r>
          </w:p>
        </w:tc>
      </w:tr>
      <w:tr>
        <w:tc>
          <w:tcPr>
            <w:tcW w:type="dxa" w:w="2948"/>
          </w:tcPr>
          <w:p>
            <w:pPr>
              <w:spacing w:after="20"/>
            </w:pPr>
            <w:r/>
            <w:r>
              <w:rPr>
                <w:sz w:val="17"/>
              </w:rPr>
              <w:t>Written summary: 3 working days</w:t>
            </w:r>
          </w:p>
        </w:tc>
        <w:tc>
          <w:tcPr>
            <w:tcW w:type="dxa" w:w="5102"/>
          </w:tcPr>
          <w:p>
            <w:pPr>
              <w:spacing w:after="20"/>
            </w:pPr>
            <w:r/>
            <w:r>
              <w:rPr>
                <w:sz w:val="17"/>
              </w:rPr>
              <w:t>To the tenant after the investigation concludes.</w:t>
            </w:r>
          </w:p>
        </w:tc>
        <w:tc>
          <w:tcPr>
            <w:tcW w:type="dxa" w:w="2041"/>
          </w:tcPr>
          <w:p>
            <w:pPr>
              <w:spacing w:after="20"/>
            </w:pPr>
            <w:r/>
            <w:r>
              <w:rPr>
                <w:sz w:val="17"/>
              </w:rPr>
              <w:t>SI 2025/1042 reg 9</w:t>
            </w:r>
          </w:p>
        </w:tc>
      </w:tr>
      <w:tr>
        <w:tc>
          <w:tcPr>
            <w:tcW w:type="dxa" w:w="2948"/>
          </w:tcPr>
          <w:p>
            <w:pPr>
              <w:spacing w:after="20"/>
            </w:pPr>
            <w:r/>
            <w:r>
              <w:rPr>
                <w:sz w:val="17"/>
              </w:rPr>
              <w:t>Safety work: 5 working days</w:t>
            </w:r>
          </w:p>
        </w:tc>
        <w:tc>
          <w:tcPr>
            <w:tcW w:type="dxa" w:w="5102"/>
          </w:tcPr>
          <w:p>
            <w:pPr>
              <w:spacing w:after="20"/>
            </w:pPr>
            <w:r/>
            <w:r>
              <w:rPr>
                <w:sz w:val="17"/>
              </w:rPr>
              <w:t>To complete safety work on a significant hazard once the investigation concludes.</w:t>
            </w:r>
          </w:p>
        </w:tc>
        <w:tc>
          <w:tcPr>
            <w:tcW w:type="dxa" w:w="2041"/>
          </w:tcPr>
          <w:p>
            <w:pPr>
              <w:spacing w:after="20"/>
            </w:pPr>
            <w:r/>
            <w:r>
              <w:rPr>
                <w:sz w:val="17"/>
              </w:rPr>
              <w:t>SI 2025/1042 reg 11(2)</w:t>
            </w:r>
          </w:p>
        </w:tc>
      </w:tr>
      <w:tr>
        <w:tc>
          <w:tcPr>
            <w:tcW w:type="dxa" w:w="2948"/>
          </w:tcPr>
          <w:p>
            <w:pPr>
              <w:spacing w:after="20"/>
            </w:pPr>
            <w:r/>
            <w:r>
              <w:rPr>
                <w:sz w:val="17"/>
              </w:rPr>
              <w:t>Preventative work: 12 weeks at the latest</w:t>
            </w:r>
          </w:p>
        </w:tc>
        <w:tc>
          <w:tcPr>
            <w:tcW w:type="dxa" w:w="5102"/>
          </w:tcPr>
          <w:p>
            <w:pPr>
              <w:spacing w:after="20"/>
            </w:pPr>
            <w:r/>
            <w:r>
              <w:rPr>
                <w:sz w:val="17"/>
              </w:rPr>
              <w:t>Begins within 5 working days or, where that is not possible, within 12 weeks.</w:t>
            </w:r>
          </w:p>
        </w:tc>
        <w:tc>
          <w:tcPr>
            <w:tcW w:type="dxa" w:w="2041"/>
          </w:tcPr>
          <w:p>
            <w:pPr>
              <w:spacing w:after="20"/>
            </w:pPr>
            <w:r/>
            <w:r>
              <w:rPr>
                <w:sz w:val="17"/>
              </w:rPr>
              <w:t>SI 2025/1042 reg 13</w:t>
            </w:r>
          </w:p>
        </w:tc>
      </w:tr>
      <w:tr>
        <w:tc>
          <w:tcPr>
            <w:tcW w:type="dxa" w:w="2948"/>
          </w:tcPr>
          <w:p>
            <w:pPr>
              <w:spacing w:after="20"/>
            </w:pPr>
            <w:r/>
            <w:r>
              <w:rPr>
                <w:sz w:val="17"/>
              </w:rPr>
              <w:t>Phase 1: 27 October 2025</w:t>
            </w:r>
          </w:p>
        </w:tc>
        <w:tc>
          <w:tcPr>
            <w:tcW w:type="dxa" w:w="5102"/>
          </w:tcPr>
          <w:p>
            <w:pPr>
              <w:spacing w:after="20"/>
            </w:pPr>
            <w:r/>
            <w:r>
              <w:rPr>
                <w:sz w:val="17"/>
              </w:rPr>
              <w:t>In force: damp and mould, and every emergency hazard.</w:t>
            </w:r>
          </w:p>
        </w:tc>
        <w:tc>
          <w:tcPr>
            <w:tcW w:type="dxa" w:w="2041"/>
          </w:tcPr>
          <w:p>
            <w:pPr>
              <w:spacing w:after="20"/>
            </w:pPr>
            <w:r/>
            <w:r>
              <w:rPr>
                <w:sz w:val="17"/>
              </w:rPr>
              <w:t>SI 2025/1042</w:t>
            </w:r>
          </w:p>
        </w:tc>
      </w:tr>
      <w:tr>
        <w:tc>
          <w:tcPr>
            <w:tcW w:type="dxa" w:w="2948"/>
          </w:tcPr>
          <w:p>
            <w:pPr>
              <w:spacing w:after="20"/>
            </w:pPr>
            <w:r/>
            <w:r>
              <w:rPr>
                <w:sz w:val="17"/>
              </w:rPr>
              <w:t>Phase 2: 30 November 2026</w:t>
            </w:r>
          </w:p>
        </w:tc>
        <w:tc>
          <w:tcPr>
            <w:tcW w:type="dxa" w:w="5102"/>
          </w:tcPr>
          <w:p>
            <w:pPr>
              <w:spacing w:after="20"/>
            </w:pPr>
            <w:r/>
            <w:r>
              <w:rPr>
                <w:sz w:val="17"/>
              </w:rPr>
              <w:t>Due to come into force, adding the hazards below. Approved by both Houses in October 2026.</w:t>
            </w:r>
          </w:p>
        </w:tc>
        <w:tc>
          <w:tcPr>
            <w:tcW w:type="dxa" w:w="2041"/>
          </w:tcPr>
          <w:p>
            <w:pPr>
              <w:spacing w:after="20"/>
            </w:pPr>
            <w:r/>
            <w:r>
              <w:rPr>
                <w:sz w:val="17"/>
              </w:rPr>
              <w:t>2026 Regulations reg 1(2)</w:t>
            </w:r>
          </w:p>
        </w:tc>
      </w:tr>
      <w:tr>
        <w:tc>
          <w:tcPr>
            <w:tcW w:type="dxa" w:w="2948"/>
          </w:tcPr>
          <w:p>
            <w:pPr>
              <w:spacing w:after="20"/>
            </w:pPr>
            <w:r/>
            <w:r>
              <w:rPr>
                <w:sz w:val="17"/>
              </w:rPr>
              <w:t>The legal duty: the landlord’s</w:t>
            </w:r>
          </w:p>
        </w:tc>
        <w:tc>
          <w:tcPr>
            <w:tcW w:type="dxa" w:w="5102"/>
          </w:tcPr>
          <w:p>
            <w:pPr>
              <w:spacing w:after="20"/>
            </w:pPr>
            <w:r/>
            <w:r>
              <w:rPr>
                <w:sz w:val="17"/>
              </w:rPr>
              <w:t>Contractors report the hazards they find. Landlords keep full responsibility.</w:t>
            </w:r>
          </w:p>
        </w:tc>
        <w:tc>
          <w:tcPr>
            <w:tcW w:type="dxa" w:w="2041"/>
          </w:tcPr>
          <w:p>
            <w:pPr>
              <w:spacing w:after="20"/>
            </w:pPr>
            <w:r/>
            <w:r>
              <w:rPr>
                <w:sz w:val="17"/>
              </w:rPr>
              <w:t>Phase 2 guidance s8.5</w:t>
            </w:r>
          </w:p>
        </w:tc>
      </w:tr>
    </w:tbl>
    <w:p/>
    <w:p>
      <w:r>
        <w:br w:type="page"/>
      </w:r>
    </w:p>
    <w:p>
      <w:pPr>
        <w:spacing w:after="0"/>
      </w:pPr>
      <w:r>
        <w:rPr>
          <w:b/>
          <w:color w:val="14214D"/>
          <w:sz w:val="16"/>
        </w:rPr>
        <w:t>HAZARD CHECKLIST</w:t>
      </w:r>
    </w:p>
    <w:p>
      <w:pPr>
        <w:pStyle w:val="Heading1"/>
      </w:pPr>
      <w:r>
        <w:t>What you found, where, and how urgent it looks</w:t>
      </w:r>
    </w:p>
    <w:p>
      <w:r>
        <w:rPr>
          <w:i w:val="0"/>
          <w:color w:val="6B6B6B"/>
          <w:sz w:val="18"/>
        </w:rPr>
        <w:t>Tick one urgency box for each hazard found, and write where it is and how far it extends. Unsure is still reported. More than one hazard can apply to the same defect.</w:t>
      </w:r>
    </w:p>
    <w:p>
      <w:pPr>
        <w:pStyle w:val="Heading2"/>
      </w:pPr>
      <w:r>
        <w:t>Damp and mould, and every emergency hazard (phase 1, in force 27 October 2025)</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3288"/>
            <w:shd w:val="clear" w:color="auto" w:fill="E8EAF1"/>
          </w:tcPr>
          <w:p>
            <w:r/>
            <w:r>
              <w:rPr>
                <w:b/>
                <w:sz w:val="17"/>
              </w:rPr>
              <w:t>Hazard and the signs to look for</w:t>
            </w:r>
          </w:p>
        </w:tc>
        <w:tc>
          <w:tcPr>
            <w:tcW w:type="dxa" w:w="3628"/>
            <w:shd w:val="clear" w:color="auto" w:fill="E8EAF1"/>
          </w:tcPr>
          <w:p>
            <w:r/>
            <w:r>
              <w:rPr>
                <w:b/>
                <w:sz w:val="17"/>
              </w:rPr>
              <w:t>Location and extent</w:t>
            </w:r>
          </w:p>
        </w:tc>
        <w:tc>
          <w:tcPr>
            <w:tcW w:type="dxa" w:w="1077"/>
            <w:shd w:val="clear" w:color="auto" w:fill="E8EAF1"/>
          </w:tcPr>
          <w:p>
            <w:r/>
            <w:r>
              <w:rPr>
                <w:b/>
                <w:sz w:val="17"/>
              </w:rPr>
              <w:t>Emergency</w:t>
            </w:r>
          </w:p>
        </w:tc>
        <w:tc>
          <w:tcPr>
            <w:tcW w:type="dxa" w:w="1077"/>
            <w:shd w:val="clear" w:color="auto" w:fill="E8EAF1"/>
          </w:tcPr>
          <w:p>
            <w:r/>
            <w:r>
              <w:rPr>
                <w:b/>
                <w:sz w:val="17"/>
              </w:rPr>
              <w:t>Significant</w:t>
            </w:r>
          </w:p>
        </w:tc>
        <w:tc>
          <w:tcPr>
            <w:tcW w:type="dxa" w:w="1020"/>
            <w:shd w:val="clear" w:color="auto" w:fill="E8EAF1"/>
          </w:tcPr>
          <w:p>
            <w:r/>
            <w:r>
              <w:rPr>
                <w:b/>
                <w:sz w:val="17"/>
              </w:rPr>
              <w:t>Unsure</w:t>
            </w:r>
          </w:p>
        </w:tc>
      </w:tr>
      <w:tr>
        <w:tc>
          <w:tcPr>
            <w:tcW w:type="dxa" w:w="3288"/>
          </w:tcPr>
          <w:p>
            <w:pPr>
              <w:spacing w:after="20"/>
            </w:pPr>
            <w:r/>
            <w:r>
              <w:rPr>
                <w:sz w:val="17"/>
              </w:rPr>
              <w:t>Mould: visible growth, a musty smell, mould uncovered behind fittings during the work</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r>
        <w:tc>
          <w:tcPr>
            <w:tcW w:type="dxa" w:w="3288"/>
          </w:tcPr>
          <w:p>
            <w:pPr>
              <w:spacing w:after="20"/>
            </w:pPr>
            <w:r/>
            <w:r>
              <w:rPr>
                <w:sz w:val="17"/>
              </w:rPr>
              <w:t>Damp: wet or stained walls, ceilings or floors, rising or penetrating damp, heavy condensation</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r>
        <w:tc>
          <w:tcPr>
            <w:tcW w:type="dxa" w:w="3288"/>
          </w:tcPr>
          <w:p>
            <w:pPr>
              <w:spacing w:after="20"/>
            </w:pPr>
            <w:r/>
            <w:r>
              <w:rPr>
                <w:sz w:val="17"/>
              </w:rPr>
              <w:t>Water coming in: roof, pipework, wastes, seals, windows or outside walls; any uncontrolled leak</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r>
        <w:tc>
          <w:tcPr>
            <w:tcW w:type="dxa" w:w="3288"/>
          </w:tcPr>
          <w:p>
            <w:pPr>
              <w:spacing w:after="20"/>
            </w:pPr>
            <w:r/>
            <w:r>
              <w:rPr>
                <w:sz w:val="17"/>
              </w:rPr>
              <w:t>Ventilation not working: extractor fan failed, vents blocked, trickle vents or windows that do not open</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r>
        <w:tc>
          <w:tcPr>
            <w:tcW w:type="dxa" w:w="3288"/>
          </w:tcPr>
          <w:p>
            <w:pPr>
              <w:spacing w:after="20"/>
            </w:pPr>
            <w:r/>
            <w:r>
              <w:rPr>
                <w:sz w:val="17"/>
              </w:rPr>
              <w:t>Cold surfaces: heating failed or inadequate, so cold walls feed condensation and mould</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r>
        <w:tc>
          <w:tcPr>
            <w:tcW w:type="dxa" w:w="3288"/>
          </w:tcPr>
          <w:p>
            <w:pPr>
              <w:spacing w:after="20"/>
            </w:pPr>
            <w:r/>
            <w:r>
              <w:rPr>
                <w:sz w:val="17"/>
              </w:rPr>
              <w:t>Repeat problem: an earlier treatment or repair has failed and the cause is still there</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r>
        <w:tc>
          <w:tcPr>
            <w:tcW w:type="dxa" w:w="3288"/>
          </w:tcPr>
          <w:p>
            <w:pPr>
              <w:spacing w:after="20"/>
            </w:pPr>
            <w:r/>
            <w:r>
              <w:rPr>
                <w:sz w:val="17"/>
              </w:rPr>
              <w:t>Any other emergency: any immediate risk to health or safety, of any kind, such as gas, electrics, fire, structure or water</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bl>
    <w:p/>
    <w:p>
      <w:pPr>
        <w:pStyle w:val="Heading2"/>
      </w:pPr>
      <w:r>
        <w:t>Excess cold, excess heat and falls (phase 2, due 30 November 2026)</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3288"/>
            <w:shd w:val="clear" w:color="auto" w:fill="E8EAF1"/>
          </w:tcPr>
          <w:p>
            <w:r/>
            <w:r>
              <w:rPr>
                <w:b/>
                <w:sz w:val="17"/>
              </w:rPr>
              <w:t>Hazard and the signs to look for</w:t>
            </w:r>
          </w:p>
        </w:tc>
        <w:tc>
          <w:tcPr>
            <w:tcW w:type="dxa" w:w="3628"/>
            <w:shd w:val="clear" w:color="auto" w:fill="E8EAF1"/>
          </w:tcPr>
          <w:p>
            <w:r/>
            <w:r>
              <w:rPr>
                <w:b/>
                <w:sz w:val="17"/>
              </w:rPr>
              <w:t>Location and extent</w:t>
            </w:r>
          </w:p>
        </w:tc>
        <w:tc>
          <w:tcPr>
            <w:tcW w:type="dxa" w:w="1077"/>
            <w:shd w:val="clear" w:color="auto" w:fill="E8EAF1"/>
          </w:tcPr>
          <w:p>
            <w:r/>
            <w:r>
              <w:rPr>
                <w:b/>
                <w:sz w:val="17"/>
              </w:rPr>
              <w:t>Emergency</w:t>
            </w:r>
          </w:p>
        </w:tc>
        <w:tc>
          <w:tcPr>
            <w:tcW w:type="dxa" w:w="1077"/>
            <w:shd w:val="clear" w:color="auto" w:fill="E8EAF1"/>
          </w:tcPr>
          <w:p>
            <w:r/>
            <w:r>
              <w:rPr>
                <w:b/>
                <w:sz w:val="17"/>
              </w:rPr>
              <w:t>Significant</w:t>
            </w:r>
          </w:p>
        </w:tc>
        <w:tc>
          <w:tcPr>
            <w:tcW w:type="dxa" w:w="1020"/>
            <w:shd w:val="clear" w:color="auto" w:fill="E8EAF1"/>
          </w:tcPr>
          <w:p>
            <w:r/>
            <w:r>
              <w:rPr>
                <w:b/>
                <w:sz w:val="17"/>
              </w:rPr>
              <w:t>Unsure</w:t>
            </w:r>
          </w:p>
        </w:tc>
      </w:tr>
      <w:tr>
        <w:tc>
          <w:tcPr>
            <w:tcW w:type="dxa" w:w="3288"/>
          </w:tcPr>
          <w:p>
            <w:pPr>
              <w:spacing w:after="20"/>
            </w:pPr>
            <w:r/>
            <w:r>
              <w:rPr>
                <w:sz w:val="17"/>
              </w:rPr>
              <w:t>Excess cold: heating failed or inadequate, faulty controls, severe draughts, broken windows or doors</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r>
        <w:tc>
          <w:tcPr>
            <w:tcW w:type="dxa" w:w="3288"/>
          </w:tcPr>
          <w:p>
            <w:pPr>
              <w:spacing w:after="20"/>
            </w:pPr>
            <w:r/>
            <w:r>
              <w:rPr>
                <w:sz w:val="17"/>
              </w:rPr>
              <w:t>Excess heat: rooms overheating, ventilation failed, no way to shade or cool the home</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r>
        <w:tc>
          <w:tcPr>
            <w:tcW w:type="dxa" w:w="3288"/>
          </w:tcPr>
          <w:p>
            <w:pPr>
              <w:spacing w:after="20"/>
            </w:pPr>
            <w:r/>
            <w:r>
              <w:rPr>
                <w:sz w:val="17"/>
              </w:rPr>
              <w:t>Falls on the level: uneven or damaged floors, trip hazards, steps under 300 mm, baths, showers and toilets</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r>
        <w:tc>
          <w:tcPr>
            <w:tcW w:type="dxa" w:w="3288"/>
          </w:tcPr>
          <w:p>
            <w:pPr>
              <w:spacing w:after="20"/>
            </w:pPr>
            <w:r/>
            <w:r>
              <w:rPr>
                <w:sz w:val="17"/>
              </w:rPr>
              <w:t>Falls on stairs and steps: damaged treads or nosings, loose or missing handrails, poor lighting</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r>
        <w:tc>
          <w:tcPr>
            <w:tcW w:type="dxa" w:w="3288"/>
          </w:tcPr>
          <w:p>
            <w:pPr>
              <w:spacing w:after="20"/>
            </w:pPr>
            <w:r/>
            <w:r>
              <w:rPr>
                <w:sz w:val="17"/>
              </w:rPr>
              <w:t>Falls between levels: missing or weak guarding and balustrades, low window sills, unprotected openings</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bl>
    <w:p/>
    <w:p>
      <w:pPr>
        <w:pStyle w:val="Heading2"/>
      </w:pPr>
      <w:r>
        <w:t>Electrical, fire and explosions, structural collapse (phase 2)</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3288"/>
            <w:shd w:val="clear" w:color="auto" w:fill="E8EAF1"/>
          </w:tcPr>
          <w:p>
            <w:r/>
            <w:r>
              <w:rPr>
                <w:b/>
                <w:sz w:val="17"/>
              </w:rPr>
              <w:t>Hazard and the signs to look for</w:t>
            </w:r>
          </w:p>
        </w:tc>
        <w:tc>
          <w:tcPr>
            <w:tcW w:type="dxa" w:w="3628"/>
            <w:shd w:val="clear" w:color="auto" w:fill="E8EAF1"/>
          </w:tcPr>
          <w:p>
            <w:r/>
            <w:r>
              <w:rPr>
                <w:b/>
                <w:sz w:val="17"/>
              </w:rPr>
              <w:t>Location and extent</w:t>
            </w:r>
          </w:p>
        </w:tc>
        <w:tc>
          <w:tcPr>
            <w:tcW w:type="dxa" w:w="1077"/>
            <w:shd w:val="clear" w:color="auto" w:fill="E8EAF1"/>
          </w:tcPr>
          <w:p>
            <w:r/>
            <w:r>
              <w:rPr>
                <w:b/>
                <w:sz w:val="17"/>
              </w:rPr>
              <w:t>Emergency</w:t>
            </w:r>
          </w:p>
        </w:tc>
        <w:tc>
          <w:tcPr>
            <w:tcW w:type="dxa" w:w="1077"/>
            <w:shd w:val="clear" w:color="auto" w:fill="E8EAF1"/>
          </w:tcPr>
          <w:p>
            <w:r/>
            <w:r>
              <w:rPr>
                <w:b/>
                <w:sz w:val="17"/>
              </w:rPr>
              <w:t>Significant</w:t>
            </w:r>
          </w:p>
        </w:tc>
        <w:tc>
          <w:tcPr>
            <w:tcW w:type="dxa" w:w="1020"/>
            <w:shd w:val="clear" w:color="auto" w:fill="E8EAF1"/>
          </w:tcPr>
          <w:p>
            <w:r/>
            <w:r>
              <w:rPr>
                <w:b/>
                <w:sz w:val="17"/>
              </w:rPr>
              <w:t>Unsure</w:t>
            </w:r>
          </w:p>
        </w:tc>
      </w:tr>
      <w:tr>
        <w:tc>
          <w:tcPr>
            <w:tcW w:type="dxa" w:w="3288"/>
          </w:tcPr>
          <w:p>
            <w:pPr>
              <w:spacing w:after="20"/>
            </w:pPr>
            <w:r/>
            <w:r>
              <w:rPr>
                <w:sz w:val="17"/>
              </w:rPr>
              <w:t>Electrical hazards: exposed or damaged wiring, scorching, a burning smell, damaged sockets or consumer unit</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r>
        <w:tc>
          <w:tcPr>
            <w:tcW w:type="dxa" w:w="3288"/>
          </w:tcPr>
          <w:p>
            <w:pPr>
              <w:spacing w:after="20"/>
            </w:pPr>
            <w:r/>
            <w:r>
              <w:rPr>
                <w:sz w:val="17"/>
              </w:rPr>
              <w:t>Fire and explosions: smell of gas, damaged gas fittings, missing or faulty smoke alarm, blocked way out of the home</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r>
        <w:tc>
          <w:tcPr>
            <w:tcW w:type="dxa" w:w="3288"/>
          </w:tcPr>
          <w:p>
            <w:pPr>
              <w:spacing w:after="20"/>
            </w:pPr>
            <w:r/>
            <w:r>
              <w:rPr>
                <w:sz w:val="17"/>
              </w:rPr>
              <w:t>Structural collapse and falling elements: large cracks, movement, loose masonry, sagging ceilings, insecure fixtures</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bl>
    <w:p/>
    <w:p>
      <w:r>
        <w:rPr>
          <w:i w:val="0"/>
          <w:color w:val="6B6B6B"/>
          <w:sz w:val="17"/>
        </w:rPr>
        <w:t>Fire in blocks of flats: in a building with two or more homes, a fire defect in a part the Fire Safety Order regulates is an excluded fire hazard under phase 2. Those parts include the structure, external walls, common parts and flat entrance doors. Report it on this form all the same.</w:t>
      </w:r>
    </w:p>
    <w:p>
      <w:pPr>
        <w:pStyle w:val="Heading2"/>
      </w:pPr>
      <w:r>
        <w:t>Domestic hygiene, one hazard covering each of these (phase 2)</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3288"/>
            <w:shd w:val="clear" w:color="auto" w:fill="E8EAF1"/>
          </w:tcPr>
          <w:p>
            <w:r/>
            <w:r>
              <w:rPr>
                <w:b/>
                <w:sz w:val="17"/>
              </w:rPr>
              <w:t>Hazard and the signs to look for</w:t>
            </w:r>
          </w:p>
        </w:tc>
        <w:tc>
          <w:tcPr>
            <w:tcW w:type="dxa" w:w="3628"/>
            <w:shd w:val="clear" w:color="auto" w:fill="E8EAF1"/>
          </w:tcPr>
          <w:p>
            <w:r/>
            <w:r>
              <w:rPr>
                <w:b/>
                <w:sz w:val="17"/>
              </w:rPr>
              <w:t>Location and extent</w:t>
            </w:r>
          </w:p>
        </w:tc>
        <w:tc>
          <w:tcPr>
            <w:tcW w:type="dxa" w:w="1077"/>
            <w:shd w:val="clear" w:color="auto" w:fill="E8EAF1"/>
          </w:tcPr>
          <w:p>
            <w:r/>
            <w:r>
              <w:rPr>
                <w:b/>
                <w:sz w:val="17"/>
              </w:rPr>
              <w:t>Emergency</w:t>
            </w:r>
          </w:p>
        </w:tc>
        <w:tc>
          <w:tcPr>
            <w:tcW w:type="dxa" w:w="1077"/>
            <w:shd w:val="clear" w:color="auto" w:fill="E8EAF1"/>
          </w:tcPr>
          <w:p>
            <w:r/>
            <w:r>
              <w:rPr>
                <w:b/>
                <w:sz w:val="17"/>
              </w:rPr>
              <w:t>Significant</w:t>
            </w:r>
          </w:p>
        </w:tc>
        <w:tc>
          <w:tcPr>
            <w:tcW w:type="dxa" w:w="1020"/>
            <w:shd w:val="clear" w:color="auto" w:fill="E8EAF1"/>
          </w:tcPr>
          <w:p>
            <w:r/>
            <w:r>
              <w:rPr>
                <w:b/>
                <w:sz w:val="17"/>
              </w:rPr>
              <w:t>Unsure</w:t>
            </w:r>
          </w:p>
        </w:tc>
      </w:tr>
      <w:tr>
        <w:tc>
          <w:tcPr>
            <w:tcW w:type="dxa" w:w="3288"/>
          </w:tcPr>
          <w:p>
            <w:pPr>
              <w:spacing w:after="20"/>
            </w:pPr>
            <w:r/>
            <w:r>
              <w:rPr>
                <w:sz w:val="17"/>
              </w:rPr>
              <w:t>Pests: rats, mice or insects, and the gaps that let them in</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r>
        <w:tc>
          <w:tcPr>
            <w:tcW w:type="dxa" w:w="3288"/>
          </w:tcPr>
          <w:p>
            <w:pPr>
              <w:spacing w:after="20"/>
            </w:pPr>
            <w:r/>
            <w:r>
              <w:rPr>
                <w:sz w:val="17"/>
              </w:rPr>
              <w:t>Refuse and waste: bin storage or disposal missing, damaged or unusable</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r>
        <w:tc>
          <w:tcPr>
            <w:tcW w:type="dxa" w:w="3288"/>
          </w:tcPr>
          <w:p>
            <w:pPr>
              <w:spacing w:after="20"/>
            </w:pPr>
            <w:r/>
            <w:r>
              <w:rPr>
                <w:sz w:val="17"/>
              </w:rPr>
              <w:t>Food storage, preparation and cooking: sink, worktops, cupboards or the cooker supply defective or missing</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r>
        <w:tc>
          <w:tcPr>
            <w:tcW w:type="dxa" w:w="3288"/>
          </w:tcPr>
          <w:p>
            <w:pPr>
              <w:spacing w:after="20"/>
            </w:pPr>
            <w:r/>
            <w:r>
              <w:rPr>
                <w:sz w:val="17"/>
              </w:rPr>
              <w:t>Cleanability: surfaces so damaged they cannot be kept clean</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r>
        <w:tc>
          <w:tcPr>
            <w:tcW w:type="dxa" w:w="3288"/>
          </w:tcPr>
          <w:p>
            <w:pPr>
              <w:spacing w:after="20"/>
            </w:pPr>
            <w:r/>
            <w:r>
              <w:rPr>
                <w:sz w:val="17"/>
              </w:rPr>
              <w:t>Personal hygiene: bath, shower, basin, or hot and cold water not working</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r>
        <w:tc>
          <w:tcPr>
            <w:tcW w:type="dxa" w:w="3288"/>
          </w:tcPr>
          <w:p>
            <w:pPr>
              <w:spacing w:after="20"/>
            </w:pPr>
            <w:r/>
            <w:r>
              <w:rPr>
                <w:sz w:val="17"/>
              </w:rPr>
              <w:t>Sanitation: no working toilet, or sewage getting into the home</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r>
        <w:tc>
          <w:tcPr>
            <w:tcW w:type="dxa" w:w="3288"/>
          </w:tcPr>
          <w:p>
            <w:pPr>
              <w:spacing w:after="20"/>
            </w:pPr>
            <w:r/>
            <w:r>
              <w:rPr>
                <w:sz w:val="17"/>
              </w:rPr>
              <w:t>Drainage: drains blocked, leaking or backing up</w:t>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bl>
    <w:p/>
    <w:p>
      <w:pPr>
        <w:pStyle w:val="Heading2"/>
      </w:pPr>
      <w:r>
        <w:t>Anything else (report it: the landlord decides)</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3288"/>
            <w:shd w:val="clear" w:color="auto" w:fill="E8EAF1"/>
          </w:tcPr>
          <w:p>
            <w:r/>
            <w:r>
              <w:rPr>
                <w:b/>
                <w:sz w:val="17"/>
              </w:rPr>
              <w:t>Hazard or defect</w:t>
            </w:r>
          </w:p>
        </w:tc>
        <w:tc>
          <w:tcPr>
            <w:tcW w:type="dxa" w:w="3628"/>
            <w:shd w:val="clear" w:color="auto" w:fill="E8EAF1"/>
          </w:tcPr>
          <w:p>
            <w:r/>
            <w:r>
              <w:rPr>
                <w:b/>
                <w:sz w:val="17"/>
              </w:rPr>
              <w:t>Location and extent</w:t>
            </w:r>
          </w:p>
        </w:tc>
        <w:tc>
          <w:tcPr>
            <w:tcW w:type="dxa" w:w="1077"/>
            <w:shd w:val="clear" w:color="auto" w:fill="E8EAF1"/>
          </w:tcPr>
          <w:p>
            <w:r/>
            <w:r>
              <w:rPr>
                <w:b/>
                <w:sz w:val="17"/>
              </w:rPr>
              <w:t>Emergency</w:t>
            </w:r>
          </w:p>
        </w:tc>
        <w:tc>
          <w:tcPr>
            <w:tcW w:type="dxa" w:w="1077"/>
            <w:shd w:val="clear" w:color="auto" w:fill="E8EAF1"/>
          </w:tcPr>
          <w:p>
            <w:r/>
            <w:r>
              <w:rPr>
                <w:b/>
                <w:sz w:val="17"/>
              </w:rPr>
              <w:t>Significant</w:t>
            </w:r>
          </w:p>
        </w:tc>
        <w:tc>
          <w:tcPr>
            <w:tcW w:type="dxa" w:w="1020"/>
            <w:shd w:val="clear" w:color="auto" w:fill="E8EAF1"/>
          </w:tcPr>
          <w:p>
            <w:r/>
            <w:r>
              <w:rPr>
                <w:b/>
                <w:sz w:val="17"/>
              </w:rPr>
              <w:t>Unsure</w:t>
            </w:r>
          </w:p>
        </w:tc>
      </w:tr>
      <w:tr>
        <w:tc>
          <w:tcPr>
            <w:tcW w:type="dxa" w:w="3288"/>
          </w:tcPr>
          <w:p>
            <w:pPr>
              <w:spacing w:after="20"/>
            </w:pPr>
            <w:r/>
            <w:r>
              <w:rPr>
                <w:sz w:val="17"/>
              </w:rPr>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r>
        <w:tc>
          <w:tcPr>
            <w:tcW w:type="dxa" w:w="3288"/>
          </w:tcPr>
          <w:p>
            <w:pPr>
              <w:spacing w:after="20"/>
            </w:pPr>
            <w:r/>
            <w:r>
              <w:rPr>
                <w:sz w:val="17"/>
              </w:rPr>
            </w:r>
          </w:p>
        </w:tc>
        <w:tc>
          <w:tcPr>
            <w:tcW w:type="dxa" w:w="3628"/>
          </w:tcPr>
          <w:p>
            <w:pPr>
              <w:spacing w:after="20"/>
            </w:pPr>
            <w:r/>
            <w:r>
              <w:rPr>
                <w:sz w:val="17"/>
              </w:rPr>
            </w:r>
          </w:p>
        </w:tc>
        <w:tc>
          <w:tcPr>
            <w:tcW w:type="dxa" w:w="1077"/>
          </w:tcPr>
          <w:p>
            <w:pPr>
              <w:spacing w:after="20"/>
            </w:pPr>
            <w:r/>
            <w:r>
              <w:rPr>
                <w:sz w:val="17"/>
              </w:rPr>
              <w:t>☐</w:t>
            </w:r>
          </w:p>
        </w:tc>
        <w:tc>
          <w:tcPr>
            <w:tcW w:type="dxa" w:w="1077"/>
          </w:tcPr>
          <w:p>
            <w:pPr>
              <w:spacing w:after="20"/>
            </w:pPr>
            <w:r/>
            <w:r>
              <w:rPr>
                <w:sz w:val="17"/>
              </w:rPr>
              <w:t>☐</w:t>
            </w:r>
          </w:p>
        </w:tc>
        <w:tc>
          <w:tcPr>
            <w:tcW w:type="dxa" w:w="1020"/>
          </w:tcPr>
          <w:p>
            <w:pPr>
              <w:spacing w:after="20"/>
            </w:pPr>
            <w:r/>
            <w:r>
              <w:rPr>
                <w:sz w:val="17"/>
              </w:rPr>
              <w:t>☐</w:t>
            </w:r>
          </w:p>
        </w:tc>
      </w:tr>
    </w:tbl>
    <w:p/>
    <w:p>
      <w:r>
        <w:br w:type="page"/>
      </w:r>
    </w:p>
    <w:p>
      <w:pPr>
        <w:spacing w:after="0"/>
      </w:pPr>
      <w:r>
        <w:rPr>
          <w:b/>
          <w:color w:val="14214D"/>
          <w:sz w:val="16"/>
        </w:rPr>
        <w:t>EVIDENCE AND ACTION</w:t>
      </w:r>
    </w:p>
    <w:p>
      <w:pPr>
        <w:pStyle w:val="Heading1"/>
      </w:pPr>
      <w:r>
        <w:t>What you recorded, what you did, what is left</w:t>
      </w:r>
    </w:p>
    <w:p>
      <w:r>
        <w:rPr>
          <w:i w:val="0"/>
          <w:color w:val="6B6B6B"/>
          <w:sz w:val="18"/>
        </w:rPr>
        <w:t>Make safe only within your competence and authority. Record facts, not assumptions, and never blame the resident. Photographs and video with the resident’s consent, before any work starts and after the make safe; photograph mould before it is removed (phase 2 guidance s8).</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969"/>
            <w:shd w:val="clear" w:color="auto" w:fill="E8EAF1"/>
          </w:tcPr>
          <w:p>
            <w:r/>
            <w:r>
              <w:rPr>
                <w:b/>
                <w:sz w:val="18"/>
              </w:rPr>
              <w:t>Item</w:t>
            </w:r>
          </w:p>
        </w:tc>
        <w:tc>
          <w:tcPr>
            <w:tcW w:type="dxa" w:w="6123"/>
            <w:shd w:val="clear" w:color="auto" w:fill="E8EAF1"/>
          </w:tcPr>
          <w:p>
            <w:r/>
            <w:r>
              <w:rPr>
                <w:b/>
                <w:sz w:val="18"/>
              </w:rPr>
              <w:t>Entry</w:t>
            </w:r>
          </w:p>
        </w:tc>
      </w:tr>
      <w:tr>
        <w:tc>
          <w:tcPr>
            <w:tcW w:type="dxa" w:w="3969"/>
          </w:tcPr>
          <w:p>
            <w:pPr>
              <w:spacing w:after="20"/>
            </w:pPr>
            <w:r/>
            <w:r>
              <w:rPr>
                <w:sz w:val="18"/>
              </w:rPr>
              <w:t>Photographs and video</w:t>
            </w:r>
          </w:p>
        </w:tc>
        <w:tc>
          <w:tcPr>
            <w:tcW w:type="dxa" w:w="6123"/>
          </w:tcPr>
          <w:p>
            <w:pPr>
              <w:spacing w:after="20"/>
            </w:pPr>
            <w:r/>
            <w:r>
              <w:rPr>
                <w:sz w:val="18"/>
              </w:rPr>
              <w:t>☐ Taken   ☐ Not taken   ☐ Resident declined</w:t>
            </w:r>
          </w:p>
        </w:tc>
      </w:tr>
      <w:tr>
        <w:tc>
          <w:tcPr>
            <w:tcW w:type="dxa" w:w="3969"/>
          </w:tcPr>
          <w:p>
            <w:pPr>
              <w:spacing w:after="20"/>
            </w:pPr>
            <w:r/>
            <w:r>
              <w:rPr>
                <w:sz w:val="18"/>
              </w:rPr>
              <w:t>How many, and file or photo references</w:t>
            </w:r>
          </w:p>
        </w:tc>
        <w:tc>
          <w:tcPr>
            <w:tcW w:type="dxa" w:w="6123"/>
          </w:tcPr>
          <w:p>
            <w:pPr>
              <w:spacing w:after="20"/>
            </w:pPr>
            <w:r/>
            <w:r>
              <w:rPr>
                <w:sz w:val="18"/>
              </w:rPr>
            </w:r>
          </w:p>
        </w:tc>
      </w:tr>
      <w:tr>
        <w:tc>
          <w:tcPr>
            <w:tcW w:type="dxa" w:w="3969"/>
          </w:tcPr>
          <w:p>
            <w:pPr>
              <w:spacing w:after="20"/>
            </w:pPr>
            <w:r/>
            <w:r>
              <w:rPr>
                <w:sz w:val="18"/>
              </w:rPr>
              <w:t>Readings and tests: moisture, humidity, temperature or electrical results</w:t>
            </w:r>
          </w:p>
        </w:tc>
        <w:tc>
          <w:tcPr>
            <w:tcW w:type="dxa" w:w="6123"/>
          </w:tcPr>
          <w:p>
            <w:pPr>
              <w:spacing w:after="20"/>
            </w:pPr>
            <w:r/>
            <w:r>
              <w:rPr>
                <w:sz w:val="18"/>
              </w:rPr>
            </w:r>
          </w:p>
        </w:tc>
      </w:tr>
      <w:tr>
        <w:tc>
          <w:tcPr>
            <w:tcW w:type="dxa" w:w="3969"/>
          </w:tcPr>
          <w:p>
            <w:pPr>
              <w:spacing w:after="20"/>
            </w:pPr>
            <w:r/>
            <w:r>
              <w:rPr>
                <w:sz w:val="18"/>
              </w:rPr>
              <w:t>Instrument used</w:t>
            </w:r>
          </w:p>
        </w:tc>
        <w:tc>
          <w:tcPr>
            <w:tcW w:type="dxa" w:w="6123"/>
          </w:tcPr>
          <w:p>
            <w:pPr>
              <w:spacing w:after="20"/>
            </w:pPr>
            <w:r/>
            <w:r>
              <w:rPr>
                <w:sz w:val="18"/>
              </w:rPr>
            </w:r>
          </w:p>
        </w:tc>
      </w:tr>
      <w:tr>
        <w:tc>
          <w:tcPr>
            <w:tcW w:type="dxa" w:w="3969"/>
          </w:tcPr>
          <w:p>
            <w:pPr>
              <w:spacing w:after="20"/>
            </w:pPr>
            <w:r/>
            <w:r>
              <w:rPr>
                <w:sz w:val="18"/>
              </w:rPr>
              <w:t>Immediate action: what was done today to make the home safe</w:t>
            </w:r>
          </w:p>
        </w:tc>
        <w:tc>
          <w:tcPr>
            <w:tcW w:type="dxa" w:w="6123"/>
          </w:tcPr>
          <w:p>
            <w:pPr>
              <w:spacing w:after="20"/>
            </w:pPr>
            <w:r/>
            <w:r>
              <w:rPr>
                <w:sz w:val="18"/>
              </w:rPr>
            </w:r>
          </w:p>
          <w:p>
            <w:pPr>
              <w:spacing w:after="20"/>
            </w:pPr>
            <w:r>
              <w:rPr>
                <w:sz w:val="18"/>
              </w:rPr>
            </w:r>
          </w:p>
          <w:p>
            <w:pPr>
              <w:spacing w:after="20"/>
            </w:pPr>
            <w:r>
              <w:rPr>
                <w:sz w:val="18"/>
              </w:rPr>
            </w:r>
          </w:p>
        </w:tc>
      </w:tr>
      <w:tr>
        <w:tc>
          <w:tcPr>
            <w:tcW w:type="dxa" w:w="3969"/>
          </w:tcPr>
          <w:p>
            <w:pPr>
              <w:spacing w:after="20"/>
            </w:pPr>
            <w:r/>
            <w:r>
              <w:rPr>
                <w:sz w:val="18"/>
              </w:rPr>
              <w:t>Made safe</w:t>
            </w:r>
          </w:p>
        </w:tc>
        <w:tc>
          <w:tcPr>
            <w:tcW w:type="dxa" w:w="6123"/>
          </w:tcPr>
          <w:p>
            <w:pPr>
              <w:spacing w:after="20"/>
            </w:pPr>
            <w:r/>
            <w:r>
              <w:rPr>
                <w:sz w:val="18"/>
              </w:rPr>
              <w:t>☐ Yes   ☐ Partly   ☐ No</w:t>
            </w:r>
          </w:p>
        </w:tc>
      </w:tr>
      <w:tr>
        <w:tc>
          <w:tcPr>
            <w:tcW w:type="dxa" w:w="3969"/>
          </w:tcPr>
          <w:p>
            <w:pPr>
              <w:spacing w:after="20"/>
            </w:pPr>
            <w:r/>
            <w:r>
              <w:rPr>
                <w:sz w:val="18"/>
              </w:rPr>
              <w:t>Area isolated</w:t>
            </w:r>
          </w:p>
        </w:tc>
        <w:tc>
          <w:tcPr>
            <w:tcW w:type="dxa" w:w="6123"/>
          </w:tcPr>
          <w:p>
            <w:pPr>
              <w:spacing w:after="20"/>
            </w:pPr>
            <w:r/>
            <w:r>
              <w:rPr>
                <w:sz w:val="18"/>
              </w:rPr>
              <w:t>☐ Yes   ☐ No   ☐ Not needed</w:t>
            </w:r>
          </w:p>
        </w:tc>
      </w:tr>
      <w:tr>
        <w:tc>
          <w:tcPr>
            <w:tcW w:type="dxa" w:w="3969"/>
          </w:tcPr>
          <w:p>
            <w:pPr>
              <w:spacing w:after="20"/>
            </w:pPr>
            <w:r/>
            <w:r>
              <w:rPr>
                <w:sz w:val="18"/>
              </w:rPr>
              <w:t>Time of action, and area or supply isolated</w:t>
            </w:r>
          </w:p>
        </w:tc>
        <w:tc>
          <w:tcPr>
            <w:tcW w:type="dxa" w:w="6123"/>
          </w:tcPr>
          <w:p>
            <w:pPr>
              <w:spacing w:after="20"/>
            </w:pPr>
            <w:r/>
            <w:r>
              <w:rPr>
                <w:sz w:val="18"/>
              </w:rPr>
            </w:r>
          </w:p>
        </w:tc>
      </w:tr>
      <w:tr>
        <w:tc>
          <w:tcPr>
            <w:tcW w:type="dxa" w:w="3969"/>
          </w:tcPr>
          <w:p>
            <w:pPr>
              <w:spacing w:after="20"/>
            </w:pPr>
            <w:r/>
            <w:r>
              <w:rPr>
                <w:sz w:val="18"/>
              </w:rPr>
              <w:t>Specialist needed</w:t>
            </w:r>
          </w:p>
        </w:tc>
        <w:tc>
          <w:tcPr>
            <w:tcW w:type="dxa" w:w="6123"/>
          </w:tcPr>
          <w:p>
            <w:pPr>
              <w:spacing w:after="20"/>
            </w:pPr>
            <w:r/>
            <w:r>
              <w:rPr>
                <w:sz w:val="18"/>
              </w:rPr>
              <w:t>☐ Yes   ☐ No   ☐ Unsure</w:t>
            </w:r>
          </w:p>
        </w:tc>
      </w:tr>
      <w:tr>
        <w:tc>
          <w:tcPr>
            <w:tcW w:type="dxa" w:w="3969"/>
          </w:tcPr>
          <w:p>
            <w:pPr>
              <w:spacing w:after="20"/>
            </w:pPr>
            <w:r/>
            <w:r>
              <w:rPr>
                <w:sz w:val="18"/>
              </w:rPr>
              <w:t>Trade or specialist, and any parts or access problem</w:t>
            </w:r>
          </w:p>
        </w:tc>
        <w:tc>
          <w:tcPr>
            <w:tcW w:type="dxa" w:w="6123"/>
          </w:tcPr>
          <w:p>
            <w:pPr>
              <w:spacing w:after="20"/>
            </w:pPr>
            <w:r/>
            <w:r>
              <w:rPr>
                <w:sz w:val="18"/>
              </w:rPr>
            </w:r>
          </w:p>
        </w:tc>
      </w:tr>
      <w:tr>
        <w:tc>
          <w:tcPr>
            <w:tcW w:type="dxa" w:w="3969"/>
          </w:tcPr>
          <w:p>
            <w:pPr>
              <w:spacing w:after="20"/>
            </w:pPr>
            <w:r/>
            <w:r>
              <w:rPr>
                <w:sz w:val="18"/>
              </w:rPr>
              <w:t>Outstanding risk: what still needs doing</w:t>
            </w:r>
          </w:p>
        </w:tc>
        <w:tc>
          <w:tcPr>
            <w:tcW w:type="dxa" w:w="6123"/>
          </w:tcPr>
          <w:p>
            <w:pPr>
              <w:spacing w:after="20"/>
            </w:pPr>
            <w:r/>
            <w:r>
              <w:rPr>
                <w:sz w:val="18"/>
              </w:rPr>
            </w:r>
          </w:p>
          <w:p>
            <w:pPr>
              <w:spacing w:after="20"/>
            </w:pPr>
            <w:r>
              <w:rPr>
                <w:sz w:val="18"/>
              </w:rPr>
            </w:r>
          </w:p>
          <w:p>
            <w:pPr>
              <w:spacing w:after="20"/>
            </w:pPr>
            <w:r>
              <w:rPr>
                <w:sz w:val="18"/>
              </w:rPr>
            </w:r>
          </w:p>
        </w:tc>
      </w:tr>
    </w:tbl>
    <w:p/>
    <w:tbl>
      <w:tblPr>
        <w:tblStyle w:val="TableGrid"/>
        <w:tblW w:type="auto" w:w="0"/>
        <w:jc w:val="center"/>
        <w:tblLook w:firstColumn="1" w:firstRow="1" w:lastColumn="0" w:lastRow="0" w:noHBand="0" w:noVBand="1" w:val="04A0"/>
      </w:tblPr>
      <w:tblGrid>
        <w:gridCol w:w="10092"/>
      </w:tblGrid>
      <w:tr>
        <w:trPr>
          <w:tblHeader w:val="true"/>
        </w:trPr>
        <w:tc>
          <w:tcPr>
            <w:tcW w:type="dxa" w:w="10091"/>
            <w:shd w:val="clear" w:color="auto" w:fill="E8EAF1"/>
          </w:tcPr>
          <w:p>
            <w:r/>
            <w:r>
              <w:rPr>
                <w:b/>
                <w:sz w:val="18"/>
              </w:rPr>
              <w:t>Detailed notes: the condition, its extent, the apparent cause, what was done and what is still outstanding (phase 2 guidance s11.1)</w:t>
            </w:r>
          </w:p>
        </w:tc>
      </w:tr>
      <w:tr>
        <w:tc>
          <w:tcPr>
            <w:tcW w:type="dxa" w:w="10091"/>
          </w:tcPr>
          <w:p>
            <w:pPr>
              <w:spacing w:after="20"/>
            </w:pPr>
            <w:r/>
            <w:r>
              <w:rPr>
                <w:sz w:val="18"/>
              </w:rPr>
            </w:r>
          </w:p>
          <w:p>
            <w:pPr>
              <w:spacing w:after="20"/>
            </w:pPr>
            <w:r>
              <w:rPr>
                <w:sz w:val="18"/>
              </w:rPr>
            </w:r>
          </w:p>
          <w:p>
            <w:pPr>
              <w:spacing w:after="20"/>
            </w:pPr>
            <w:r>
              <w:rPr>
                <w:sz w:val="18"/>
              </w:rPr>
            </w:r>
          </w:p>
          <w:p>
            <w:pPr>
              <w:spacing w:after="20"/>
            </w:pPr>
            <w:r>
              <w:rPr>
                <w:sz w:val="18"/>
              </w:rPr>
            </w:r>
          </w:p>
          <w:p>
            <w:pPr>
              <w:spacing w:after="20"/>
            </w:pPr>
            <w:r>
              <w:rPr>
                <w:sz w:val="18"/>
              </w:rPr>
            </w:r>
          </w:p>
          <w:p>
            <w:pPr>
              <w:spacing w:after="20"/>
            </w:pPr>
            <w:r>
              <w:rPr>
                <w:sz w:val="18"/>
              </w:rPr>
            </w:r>
          </w:p>
        </w:tc>
      </w:tr>
    </w:tbl>
    <w:p/>
    <w:p>
      <w:pPr>
        <w:pStyle w:val="Heading2"/>
      </w:pPr>
      <w:r>
        <w:t>Reported from the property</w:t>
      </w:r>
    </w:p>
    <w:p>
      <w:r>
        <w:rPr>
          <w:i w:val="0"/>
          <w:color w:val="6B6B6B"/>
          <w:sz w:val="18"/>
        </w:rPr>
        <w:t>The same day, before you leave. Phone a suspected emergency through at once, then complete this.</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494"/>
            <w:shd w:val="clear" w:color="auto" w:fill="E8EAF1"/>
          </w:tcPr>
          <w:p>
            <w:r/>
            <w:r>
              <w:rPr>
                <w:b/>
                <w:sz w:val="18"/>
              </w:rPr>
              <w:t>Date found</w:t>
            </w:r>
          </w:p>
        </w:tc>
        <w:tc>
          <w:tcPr>
            <w:tcW w:type="dxa" w:w="2494"/>
            <w:shd w:val="clear" w:color="auto" w:fill="E8EAF1"/>
          </w:tcPr>
          <w:p>
            <w:r/>
            <w:r>
              <w:rPr>
                <w:b/>
                <w:sz w:val="18"/>
              </w:rPr>
              <w:t>Time found</w:t>
            </w:r>
          </w:p>
        </w:tc>
        <w:tc>
          <w:tcPr>
            <w:tcW w:type="dxa" w:w="2551"/>
            <w:shd w:val="clear" w:color="auto" w:fill="E8EAF1"/>
          </w:tcPr>
          <w:p>
            <w:r/>
            <w:r>
              <w:rPr>
                <w:b/>
                <w:sz w:val="18"/>
              </w:rPr>
              <w:t>Date reported</w:t>
            </w:r>
          </w:p>
        </w:tc>
        <w:tc>
          <w:tcPr>
            <w:tcW w:type="dxa" w:w="2551"/>
            <w:shd w:val="clear" w:color="auto" w:fill="E8EAF1"/>
          </w:tcPr>
          <w:p>
            <w:r/>
            <w:r>
              <w:rPr>
                <w:b/>
                <w:sz w:val="18"/>
              </w:rPr>
              <w:t>Time reported</w:t>
            </w:r>
          </w:p>
        </w:tc>
      </w:tr>
      <w:tr>
        <w:tc>
          <w:tcPr>
            <w:tcW w:type="dxa" w:w="2494"/>
          </w:tcPr>
          <w:p>
            <w:pPr>
              <w:spacing w:after="20"/>
            </w:pPr>
            <w:r/>
            <w:r>
              <w:rPr>
                <w:sz w:val="18"/>
              </w:rPr>
            </w:r>
          </w:p>
        </w:tc>
        <w:tc>
          <w:tcPr>
            <w:tcW w:type="dxa" w:w="2494"/>
          </w:tcPr>
          <w:p>
            <w:pPr>
              <w:spacing w:after="20"/>
            </w:pPr>
            <w:r/>
            <w:r>
              <w:rPr>
                <w:sz w:val="18"/>
              </w:rPr>
            </w:r>
          </w:p>
        </w:tc>
        <w:tc>
          <w:tcPr>
            <w:tcW w:type="dxa" w:w="2551"/>
          </w:tcPr>
          <w:p>
            <w:pPr>
              <w:spacing w:after="20"/>
            </w:pPr>
            <w:r/>
            <w:r>
              <w:rPr>
                <w:sz w:val="18"/>
              </w:rPr>
            </w:r>
          </w:p>
        </w:tc>
        <w:tc>
          <w:tcPr>
            <w:tcW w:type="dxa" w:w="2551"/>
          </w:tcPr>
          <w:p>
            <w:pPr>
              <w:spacing w:after="20"/>
            </w:pPr>
            <w:r/>
            <w:r>
              <w:rPr>
                <w:sz w:val="18"/>
              </w:rPr>
            </w:r>
          </w:p>
        </w:tc>
      </w:tr>
    </w:tbl>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8"/>
              </w:rPr>
              <w:t>Reported to</w:t>
            </w:r>
          </w:p>
        </w:tc>
        <w:tc>
          <w:tcPr>
            <w:tcW w:type="dxa" w:w="2835"/>
            <w:shd w:val="clear" w:color="auto" w:fill="E8EAF1"/>
          </w:tcPr>
          <w:p>
            <w:r/>
            <w:r>
              <w:rPr>
                <w:b/>
                <w:sz w:val="18"/>
              </w:rPr>
              <w:t>Role and organisation</w:t>
            </w:r>
          </w:p>
        </w:tc>
        <w:tc>
          <w:tcPr>
            <w:tcW w:type="dxa" w:w="4422"/>
            <w:shd w:val="clear" w:color="auto" w:fill="E8EAF1"/>
          </w:tcPr>
          <w:p>
            <w:r/>
            <w:r>
              <w:rPr>
                <w:b/>
                <w:sz w:val="18"/>
              </w:rPr>
              <w:t>How it was reported</w:t>
            </w:r>
          </w:p>
        </w:tc>
      </w:tr>
      <w:tr>
        <w:tc>
          <w:tcPr>
            <w:tcW w:type="dxa" w:w="2835"/>
          </w:tcPr>
          <w:p>
            <w:pPr>
              <w:spacing w:after="20"/>
            </w:pPr>
            <w:r/>
            <w:r>
              <w:rPr>
                <w:sz w:val="18"/>
              </w:rPr>
            </w:r>
          </w:p>
        </w:tc>
        <w:tc>
          <w:tcPr>
            <w:tcW w:type="dxa" w:w="2835"/>
          </w:tcPr>
          <w:p>
            <w:pPr>
              <w:spacing w:after="20"/>
            </w:pPr>
            <w:r/>
            <w:r>
              <w:rPr>
                <w:sz w:val="18"/>
              </w:rPr>
            </w:r>
          </w:p>
        </w:tc>
        <w:tc>
          <w:tcPr>
            <w:tcW w:type="dxa" w:w="4422"/>
          </w:tcPr>
          <w:p>
            <w:pPr>
              <w:spacing w:after="20"/>
            </w:pPr>
            <w:r/>
            <w:r>
              <w:rPr>
                <w:sz w:val="18"/>
              </w:rPr>
              <w:t>☐ Phone   ☐ App   ☐ Email   ☐ Portal   ☐ Other</w:t>
            </w:r>
          </w:p>
        </w:tc>
      </w:tr>
    </w:tbl>
    <w:p/>
    <w:p>
      <w:pPr>
        <w:pStyle w:val="Heading2"/>
      </w:pPr>
      <w:r>
        <w:t>Engineer’s completion check</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907"/>
            <w:shd w:val="clear" w:color="auto" w:fill="E8EAF1"/>
          </w:tcPr>
          <w:p>
            <w:r/>
            <w:r>
              <w:rPr>
                <w:b/>
                <w:sz w:val="18"/>
              </w:rPr>
              <w:t>Done</w:t>
            </w:r>
          </w:p>
        </w:tc>
        <w:tc>
          <w:tcPr>
            <w:tcW w:type="dxa" w:w="9184"/>
            <w:shd w:val="clear" w:color="auto" w:fill="E8EAF1"/>
          </w:tcPr>
          <w:p>
            <w:r/>
            <w:r>
              <w:rPr>
                <w:b/>
                <w:sz w:val="18"/>
              </w:rPr>
              <w:t>Before you leave the property</w:t>
            </w:r>
          </w:p>
        </w:tc>
      </w:tr>
      <w:tr>
        <w:tc>
          <w:tcPr>
            <w:tcW w:type="dxa" w:w="907"/>
          </w:tcPr>
          <w:p>
            <w:pPr>
              <w:spacing w:after="20"/>
            </w:pPr>
            <w:r/>
            <w:r>
              <w:rPr>
                <w:sz w:val="18"/>
              </w:rPr>
              <w:t>☐</w:t>
            </w:r>
          </w:p>
        </w:tc>
        <w:tc>
          <w:tcPr>
            <w:tcW w:type="dxa" w:w="9184"/>
          </w:tcPr>
          <w:p>
            <w:pPr>
              <w:spacing w:after="20"/>
            </w:pPr>
            <w:r/>
            <w:r>
              <w:rPr>
                <w:sz w:val="18"/>
              </w:rPr>
              <w:t>Facts recorded, not assumptions, and nothing that blames the resident</w:t>
            </w:r>
          </w:p>
        </w:tc>
      </w:tr>
      <w:tr>
        <w:tc>
          <w:tcPr>
            <w:tcW w:type="dxa" w:w="907"/>
          </w:tcPr>
          <w:p>
            <w:pPr>
              <w:spacing w:after="20"/>
            </w:pPr>
            <w:r/>
            <w:r>
              <w:rPr>
                <w:sz w:val="18"/>
              </w:rPr>
              <w:t>☐</w:t>
            </w:r>
          </w:p>
        </w:tc>
        <w:tc>
          <w:tcPr>
            <w:tcW w:type="dxa" w:w="9184"/>
          </w:tcPr>
          <w:p>
            <w:pPr>
              <w:spacing w:after="20"/>
            </w:pPr>
            <w:r/>
            <w:r>
              <w:rPr>
                <w:sz w:val="18"/>
              </w:rPr>
              <w:t>Made safe only within my competence and authority</w:t>
            </w:r>
          </w:p>
        </w:tc>
      </w:tr>
      <w:tr>
        <w:tc>
          <w:tcPr>
            <w:tcW w:type="dxa" w:w="907"/>
          </w:tcPr>
          <w:p>
            <w:pPr>
              <w:spacing w:after="20"/>
            </w:pPr>
            <w:r/>
            <w:r>
              <w:rPr>
                <w:sz w:val="18"/>
              </w:rPr>
              <w:t>☐</w:t>
            </w:r>
          </w:p>
        </w:tc>
        <w:tc>
          <w:tcPr>
            <w:tcW w:type="dxa" w:w="9184"/>
          </w:tcPr>
          <w:p>
            <w:pPr>
              <w:spacing w:after="20"/>
            </w:pPr>
            <w:r/>
            <w:r>
              <w:rPr>
                <w:sz w:val="18"/>
              </w:rPr>
              <w:t>Any suspected emergency, outstanding risk, repeat defect or failed repair marked clearly</w:t>
            </w:r>
          </w:p>
        </w:tc>
      </w:tr>
      <w:tr>
        <w:tc>
          <w:tcPr>
            <w:tcW w:type="dxa" w:w="907"/>
          </w:tcPr>
          <w:p>
            <w:pPr>
              <w:spacing w:after="20"/>
            </w:pPr>
            <w:r/>
            <w:r>
              <w:rPr>
                <w:sz w:val="18"/>
              </w:rPr>
              <w:t>☐</w:t>
            </w:r>
          </w:p>
        </w:tc>
        <w:tc>
          <w:tcPr>
            <w:tcW w:type="dxa" w:w="9184"/>
          </w:tcPr>
          <w:p>
            <w:pPr>
              <w:spacing w:after="20"/>
            </w:pPr>
            <w:r/>
            <w:r>
              <w:rPr>
                <w:sz w:val="18"/>
              </w:rPr>
              <w:t>Photographs attached, or the reason none were taken written down</w:t>
            </w:r>
          </w:p>
        </w:tc>
      </w:tr>
      <w:tr>
        <w:tc>
          <w:tcPr>
            <w:tcW w:type="dxa" w:w="907"/>
          </w:tcPr>
          <w:p>
            <w:pPr>
              <w:spacing w:after="20"/>
            </w:pPr>
            <w:r/>
            <w:r>
              <w:rPr>
                <w:sz w:val="18"/>
              </w:rPr>
              <w:t>☐</w:t>
            </w:r>
          </w:p>
        </w:tc>
        <w:tc>
          <w:tcPr>
            <w:tcW w:type="dxa" w:w="9184"/>
          </w:tcPr>
          <w:p>
            <w:pPr>
              <w:spacing w:after="20"/>
            </w:pPr>
            <w:r/>
            <w:r>
              <w:rPr>
                <w:sz w:val="18"/>
              </w:rPr>
              <w:t>Original job not closed while a separate hazard is still open and unreported</w:t>
            </w:r>
          </w:p>
        </w:tc>
      </w:tr>
      <w:tr>
        <w:tc>
          <w:tcPr>
            <w:tcW w:type="dxa" w:w="907"/>
          </w:tcPr>
          <w:p>
            <w:pPr>
              <w:spacing w:after="20"/>
            </w:pPr>
            <w:r/>
            <w:r>
              <w:rPr>
                <w:sz w:val="18"/>
              </w:rPr>
              <w:t>☐</w:t>
            </w:r>
          </w:p>
        </w:tc>
        <w:tc>
          <w:tcPr>
            <w:tcW w:type="dxa" w:w="9184"/>
          </w:tcPr>
          <w:p>
            <w:pPr>
              <w:spacing w:after="20"/>
            </w:pPr>
            <w:r/>
            <w:r>
              <w:rPr>
                <w:sz w:val="18"/>
              </w:rPr>
              <w:t>Receipt confirmed, or escalated where the resident may still be at risk</w:t>
            </w:r>
          </w:p>
        </w:tc>
      </w:tr>
    </w:tbl>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3175"/>
            <w:shd w:val="clear" w:color="auto" w:fill="E8EAF1"/>
          </w:tcPr>
          <w:p>
            <w:r/>
            <w:r>
              <w:rPr>
                <w:b/>
                <w:sz w:val="18"/>
              </w:rPr>
              <w:t>Engineer</w:t>
            </w:r>
          </w:p>
        </w:tc>
        <w:tc>
          <w:tcPr>
            <w:tcW w:type="dxa" w:w="2948"/>
            <w:shd w:val="clear" w:color="auto" w:fill="E8EAF1"/>
          </w:tcPr>
          <w:p>
            <w:r/>
            <w:r>
              <w:rPr>
                <w:b/>
                <w:sz w:val="18"/>
              </w:rPr>
              <w:t>Signature</w:t>
            </w:r>
          </w:p>
        </w:tc>
        <w:tc>
          <w:tcPr>
            <w:tcW w:type="dxa" w:w="2041"/>
            <w:shd w:val="clear" w:color="auto" w:fill="E8EAF1"/>
          </w:tcPr>
          <w:p>
            <w:r/>
            <w:r>
              <w:rPr>
                <w:b/>
                <w:sz w:val="18"/>
              </w:rPr>
              <w:t>Date</w:t>
            </w:r>
          </w:p>
        </w:tc>
        <w:tc>
          <w:tcPr>
            <w:tcW w:type="dxa" w:w="1928"/>
            <w:shd w:val="clear" w:color="auto" w:fill="E8EAF1"/>
          </w:tcPr>
          <w:p>
            <w:r/>
            <w:r>
              <w:rPr>
                <w:b/>
                <w:sz w:val="18"/>
              </w:rPr>
              <w:t>Time</w:t>
            </w:r>
          </w:p>
        </w:tc>
      </w:tr>
      <w:tr>
        <w:tc>
          <w:tcPr>
            <w:tcW w:type="dxa" w:w="3175"/>
          </w:tcPr>
          <w:p>
            <w:pPr>
              <w:spacing w:after="20"/>
            </w:pPr>
            <w:r/>
            <w:r>
              <w:rPr>
                <w:sz w:val="18"/>
              </w:rPr>
            </w:r>
          </w:p>
        </w:tc>
        <w:tc>
          <w:tcPr>
            <w:tcW w:type="dxa" w:w="2948"/>
          </w:tcPr>
          <w:p>
            <w:pPr>
              <w:spacing w:after="20"/>
            </w:pPr>
            <w:r/>
            <w:r>
              <w:rPr>
                <w:sz w:val="18"/>
              </w:rPr>
            </w:r>
          </w:p>
        </w:tc>
        <w:tc>
          <w:tcPr>
            <w:tcW w:type="dxa" w:w="2041"/>
          </w:tcPr>
          <w:p>
            <w:pPr>
              <w:spacing w:after="20"/>
            </w:pPr>
            <w:r/>
            <w:r>
              <w:rPr>
                <w:sz w:val="18"/>
              </w:rPr>
            </w:r>
          </w:p>
        </w:tc>
        <w:tc>
          <w:tcPr>
            <w:tcW w:type="dxa" w:w="1928"/>
          </w:tcPr>
          <w:p>
            <w:pPr>
              <w:spacing w:after="20"/>
            </w:pPr>
            <w:r/>
            <w:r>
              <w:rPr>
                <w:sz w:val="18"/>
              </w:rPr>
            </w:r>
          </w:p>
        </w:tc>
      </w:tr>
    </w:tbl>
    <w:p/>
    <w:p>
      <w:r>
        <w:br w:type="page"/>
      </w:r>
    </w:p>
    <w:p>
      <w:pPr>
        <w:spacing w:after="0"/>
      </w:pPr>
      <w:r>
        <w:rPr>
          <w:b/>
          <w:color w:val="14214D"/>
          <w:sz w:val="16"/>
        </w:rPr>
        <w:t>COMPLETED BY THE OFFICE</w:t>
      </w:r>
    </w:p>
    <w:p>
      <w:pPr>
        <w:pStyle w:val="Heading1"/>
      </w:pPr>
      <w:r>
        <w:t>Reporting and handover record</w:t>
      </w:r>
    </w:p>
    <w:p>
      <w:r>
        <w:rPr>
          <w:i w:val="0"/>
          <w:color w:val="6B6B6B"/>
          <w:sz w:val="18"/>
        </w:rPr>
        <w:t>Filled in when the report reaches the office, so every step after the visit is timed and named.</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969"/>
            <w:shd w:val="clear" w:color="auto" w:fill="E8EAF1"/>
          </w:tcPr>
          <w:p>
            <w:r/>
            <w:r>
              <w:rPr>
                <w:b/>
                <w:sz w:val="18"/>
              </w:rPr>
              <w:t>Item</w:t>
            </w:r>
          </w:p>
        </w:tc>
        <w:tc>
          <w:tcPr>
            <w:tcW w:type="dxa" w:w="6123"/>
            <w:shd w:val="clear" w:color="auto" w:fill="E8EAF1"/>
          </w:tcPr>
          <w:p>
            <w:r/>
            <w:r>
              <w:rPr>
                <w:b/>
                <w:sz w:val="18"/>
              </w:rPr>
              <w:t>Entry</w:t>
            </w:r>
          </w:p>
        </w:tc>
      </w:tr>
      <w:tr>
        <w:tc>
          <w:tcPr>
            <w:tcW w:type="dxa" w:w="3969"/>
          </w:tcPr>
          <w:p>
            <w:pPr>
              <w:spacing w:after="20"/>
            </w:pPr>
            <w:r/>
            <w:r>
              <w:rPr>
                <w:sz w:val="18"/>
              </w:rPr>
              <w:t>Office reference</w:t>
            </w:r>
          </w:p>
        </w:tc>
        <w:tc>
          <w:tcPr>
            <w:tcW w:type="dxa" w:w="6123"/>
          </w:tcPr>
          <w:p>
            <w:pPr>
              <w:spacing w:after="20"/>
            </w:pPr>
            <w:r/>
            <w:r>
              <w:rPr>
                <w:sz w:val="18"/>
              </w:rPr>
            </w:r>
          </w:p>
        </w:tc>
      </w:tr>
      <w:tr>
        <w:tc>
          <w:tcPr>
            <w:tcW w:type="dxa" w:w="3969"/>
          </w:tcPr>
          <w:p>
            <w:pPr>
              <w:spacing w:after="20"/>
            </w:pPr>
            <w:r/>
            <w:r>
              <w:rPr>
                <w:sz w:val="18"/>
              </w:rPr>
              <w:t>Date and time received</w:t>
            </w:r>
          </w:p>
        </w:tc>
        <w:tc>
          <w:tcPr>
            <w:tcW w:type="dxa" w:w="6123"/>
          </w:tcPr>
          <w:p>
            <w:pPr>
              <w:spacing w:after="20"/>
            </w:pPr>
            <w:r/>
            <w:r>
              <w:rPr>
                <w:sz w:val="18"/>
              </w:rPr>
            </w:r>
          </w:p>
        </w:tc>
      </w:tr>
      <w:tr>
        <w:tc>
          <w:tcPr>
            <w:tcW w:type="dxa" w:w="3969"/>
          </w:tcPr>
          <w:p>
            <w:pPr>
              <w:spacing w:after="20"/>
            </w:pPr>
            <w:r/>
            <w:r>
              <w:rPr>
                <w:sz w:val="18"/>
              </w:rPr>
              <w:t>Received by</w:t>
            </w:r>
          </w:p>
        </w:tc>
        <w:tc>
          <w:tcPr>
            <w:tcW w:type="dxa" w:w="6123"/>
          </w:tcPr>
          <w:p>
            <w:pPr>
              <w:spacing w:after="20"/>
            </w:pPr>
            <w:r/>
            <w:r>
              <w:rPr>
                <w:sz w:val="18"/>
              </w:rPr>
            </w:r>
          </w:p>
        </w:tc>
      </w:tr>
      <w:tr>
        <w:tc>
          <w:tcPr>
            <w:tcW w:type="dxa" w:w="3969"/>
          </w:tcPr>
          <w:p>
            <w:pPr>
              <w:spacing w:after="20"/>
            </w:pPr>
            <w:r/>
            <w:r>
              <w:rPr>
                <w:sz w:val="18"/>
              </w:rPr>
              <w:t>Acknowledged at</w:t>
            </w:r>
          </w:p>
        </w:tc>
        <w:tc>
          <w:tcPr>
            <w:tcW w:type="dxa" w:w="6123"/>
          </w:tcPr>
          <w:p>
            <w:pPr>
              <w:spacing w:after="20"/>
            </w:pPr>
            <w:r/>
            <w:r>
              <w:rPr>
                <w:sz w:val="18"/>
              </w:rPr>
            </w:r>
          </w:p>
        </w:tc>
      </w:tr>
      <w:tr>
        <w:tc>
          <w:tcPr>
            <w:tcW w:type="dxa" w:w="3969"/>
          </w:tcPr>
          <w:p>
            <w:pPr>
              <w:spacing w:after="20"/>
            </w:pPr>
            <w:r/>
            <w:r>
              <w:rPr>
                <w:sz w:val="18"/>
              </w:rPr>
              <w:t>Landlord’s reference</w:t>
            </w:r>
          </w:p>
        </w:tc>
        <w:tc>
          <w:tcPr>
            <w:tcW w:type="dxa" w:w="6123"/>
          </w:tcPr>
          <w:p>
            <w:pPr>
              <w:spacing w:after="20"/>
            </w:pPr>
            <w:r/>
            <w:r>
              <w:rPr>
                <w:sz w:val="18"/>
              </w:rPr>
            </w:r>
          </w:p>
        </w:tc>
      </w:tr>
      <w:tr>
        <w:tc>
          <w:tcPr>
            <w:tcW w:type="dxa" w:w="3969"/>
          </w:tcPr>
          <w:p>
            <w:pPr>
              <w:spacing w:after="20"/>
            </w:pPr>
            <w:r/>
            <w:r>
              <w:rPr>
                <w:sz w:val="18"/>
              </w:rPr>
              <w:t>Landlord told: name, date and time</w:t>
            </w:r>
          </w:p>
        </w:tc>
        <w:tc>
          <w:tcPr>
            <w:tcW w:type="dxa" w:w="6123"/>
          </w:tcPr>
          <w:p>
            <w:pPr>
              <w:spacing w:after="20"/>
            </w:pPr>
            <w:r/>
            <w:r>
              <w:rPr>
                <w:sz w:val="18"/>
              </w:rPr>
            </w:r>
          </w:p>
        </w:tc>
      </w:tr>
      <w:tr>
        <w:tc>
          <w:tcPr>
            <w:tcW w:type="dxa" w:w="3969"/>
          </w:tcPr>
          <w:p>
            <w:pPr>
              <w:spacing w:after="20"/>
            </w:pPr>
            <w:r/>
            <w:r>
              <w:rPr>
                <w:sz w:val="18"/>
              </w:rPr>
              <w:t>Manager told</w:t>
            </w:r>
          </w:p>
        </w:tc>
        <w:tc>
          <w:tcPr>
            <w:tcW w:type="dxa" w:w="6123"/>
          </w:tcPr>
          <w:p>
            <w:pPr>
              <w:spacing w:after="20"/>
            </w:pPr>
            <w:r/>
            <w:r>
              <w:rPr>
                <w:sz w:val="18"/>
              </w:rPr>
              <w:t>☐ Yes   ☐ No</w:t>
            </w:r>
          </w:p>
        </w:tc>
      </w:tr>
      <w:tr>
        <w:tc>
          <w:tcPr>
            <w:tcW w:type="dxa" w:w="3969"/>
          </w:tcPr>
          <w:p>
            <w:pPr>
              <w:spacing w:after="20"/>
            </w:pPr>
            <w:r/>
            <w:r>
              <w:rPr>
                <w:sz w:val="18"/>
              </w:rPr>
              <w:t>Reported as</w:t>
            </w:r>
          </w:p>
        </w:tc>
        <w:tc>
          <w:tcPr>
            <w:tcW w:type="dxa" w:w="6123"/>
          </w:tcPr>
          <w:p>
            <w:pPr>
              <w:spacing w:after="20"/>
            </w:pPr>
            <w:r/>
            <w:r>
              <w:rPr>
                <w:sz w:val="18"/>
              </w:rPr>
              <w:t>☐ Suspected emergency   ☐ Possible significant hazard   ☐ Unsure, for triage   ☐ Other repair</w:t>
            </w:r>
          </w:p>
        </w:tc>
      </w:tr>
      <w:tr>
        <w:tc>
          <w:tcPr>
            <w:tcW w:type="dxa" w:w="3969"/>
          </w:tcPr>
          <w:p>
            <w:pPr>
              <w:spacing w:after="20"/>
            </w:pPr>
            <w:r/>
            <w:r>
              <w:rPr>
                <w:sz w:val="18"/>
              </w:rPr>
              <w:t>Escalated to: name and company, date and time</w:t>
            </w:r>
          </w:p>
        </w:tc>
        <w:tc>
          <w:tcPr>
            <w:tcW w:type="dxa" w:w="6123"/>
          </w:tcPr>
          <w:p>
            <w:pPr>
              <w:spacing w:after="20"/>
            </w:pPr>
            <w:r/>
            <w:r>
              <w:rPr>
                <w:sz w:val="18"/>
              </w:rPr>
            </w:r>
          </w:p>
        </w:tc>
      </w:tr>
      <w:tr>
        <w:tc>
          <w:tcPr>
            <w:tcW w:type="dxa" w:w="3969"/>
          </w:tcPr>
          <w:p>
            <w:pPr>
              <w:spacing w:after="20"/>
            </w:pPr>
            <w:r/>
            <w:r>
              <w:rPr>
                <w:sz w:val="18"/>
              </w:rPr>
              <w:t>Risk handed over</w:t>
            </w:r>
          </w:p>
        </w:tc>
        <w:tc>
          <w:tcPr>
            <w:tcW w:type="dxa" w:w="6123"/>
          </w:tcPr>
          <w:p>
            <w:pPr>
              <w:spacing w:after="20"/>
            </w:pPr>
            <w:r/>
            <w:r>
              <w:rPr>
                <w:sz w:val="18"/>
              </w:rPr>
              <w:t>☐ Yes   ☐ No   ☐ None outstanding</w:t>
            </w:r>
          </w:p>
        </w:tc>
      </w:tr>
      <w:tr>
        <w:tc>
          <w:tcPr>
            <w:tcW w:type="dxa" w:w="3969"/>
          </w:tcPr>
          <w:p>
            <w:pPr>
              <w:spacing w:after="20"/>
            </w:pPr>
            <w:r/>
            <w:r>
              <w:rPr>
                <w:sz w:val="18"/>
              </w:rPr>
              <w:t>Accepted by: name and company, date and time</w:t>
            </w:r>
          </w:p>
        </w:tc>
        <w:tc>
          <w:tcPr>
            <w:tcW w:type="dxa" w:w="6123"/>
          </w:tcPr>
          <w:p>
            <w:pPr>
              <w:spacing w:after="20"/>
            </w:pPr>
            <w:r/>
            <w:r>
              <w:rPr>
                <w:sz w:val="18"/>
              </w:rPr>
            </w:r>
          </w:p>
        </w:tc>
      </w:tr>
      <w:tr>
        <w:tc>
          <w:tcPr>
            <w:tcW w:type="dxa" w:w="3969"/>
          </w:tcPr>
          <w:p>
            <w:pPr>
              <w:spacing w:after="20"/>
            </w:pPr>
            <w:r/>
            <w:r>
              <w:rPr>
                <w:sz w:val="18"/>
              </w:rPr>
              <w:t>Office notes and actions</w:t>
            </w:r>
          </w:p>
        </w:tc>
        <w:tc>
          <w:tcPr>
            <w:tcW w:type="dxa" w:w="6123"/>
          </w:tcPr>
          <w:p>
            <w:pPr>
              <w:spacing w:after="20"/>
            </w:pPr>
            <w:r/>
            <w:r>
              <w:rPr>
                <w:sz w:val="18"/>
              </w:rPr>
            </w:r>
          </w:p>
          <w:p>
            <w:pPr>
              <w:spacing w:after="20"/>
            </w:pPr>
            <w:r>
              <w:rPr>
                <w:sz w:val="18"/>
              </w:rPr>
            </w:r>
          </w:p>
          <w:p>
            <w:pPr>
              <w:spacing w:after="20"/>
            </w:pPr>
            <w:r>
              <w:rPr>
                <w:sz w:val="18"/>
              </w:rPr>
            </w:r>
          </w:p>
        </w:tc>
      </w:tr>
      <w:tr>
        <w:tc>
          <w:tcPr>
            <w:tcW w:type="dxa" w:w="3969"/>
          </w:tcPr>
          <w:p>
            <w:pPr>
              <w:spacing w:after="20"/>
            </w:pPr>
            <w:r/>
            <w:r>
              <w:rPr>
                <w:sz w:val="18"/>
              </w:rPr>
              <w:t>Outcome</w:t>
            </w:r>
          </w:p>
        </w:tc>
        <w:tc>
          <w:tcPr>
            <w:tcW w:type="dxa" w:w="6123"/>
          </w:tcPr>
          <w:p>
            <w:pPr>
              <w:spacing w:after="20"/>
            </w:pPr>
            <w:r/>
            <w:r>
              <w:rPr>
                <w:sz w:val="18"/>
              </w:rPr>
              <w:t>☐ Closed   ☐ Transferred to the landlord   ☐ Still open</w:t>
            </w:r>
          </w:p>
        </w:tc>
      </w:tr>
    </w:tbl>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3175"/>
            <w:shd w:val="clear" w:color="auto" w:fill="E8EAF1"/>
          </w:tcPr>
          <w:p>
            <w:r/>
            <w:r>
              <w:rPr>
                <w:b/>
                <w:sz w:val="18"/>
              </w:rPr>
              <w:t>Reviewed by</w:t>
            </w:r>
          </w:p>
        </w:tc>
        <w:tc>
          <w:tcPr>
            <w:tcW w:type="dxa" w:w="2948"/>
            <w:shd w:val="clear" w:color="auto" w:fill="E8EAF1"/>
          </w:tcPr>
          <w:p>
            <w:r/>
            <w:r>
              <w:rPr>
                <w:b/>
                <w:sz w:val="18"/>
              </w:rPr>
              <w:t>Signature</w:t>
            </w:r>
          </w:p>
        </w:tc>
        <w:tc>
          <w:tcPr>
            <w:tcW w:type="dxa" w:w="2041"/>
            <w:shd w:val="clear" w:color="auto" w:fill="E8EAF1"/>
          </w:tcPr>
          <w:p>
            <w:r/>
            <w:r>
              <w:rPr>
                <w:b/>
                <w:sz w:val="18"/>
              </w:rPr>
              <w:t>Date</w:t>
            </w:r>
          </w:p>
        </w:tc>
        <w:tc>
          <w:tcPr>
            <w:tcW w:type="dxa" w:w="1928"/>
            <w:shd w:val="clear" w:color="auto" w:fill="E8EAF1"/>
          </w:tcPr>
          <w:p>
            <w:r/>
            <w:r>
              <w:rPr>
                <w:b/>
                <w:sz w:val="18"/>
              </w:rPr>
              <w:t>Time</w:t>
            </w:r>
          </w:p>
        </w:tc>
      </w:tr>
      <w:tr>
        <w:tc>
          <w:tcPr>
            <w:tcW w:type="dxa" w:w="3175"/>
          </w:tcPr>
          <w:p>
            <w:pPr>
              <w:spacing w:after="20"/>
            </w:pPr>
            <w:r/>
            <w:r>
              <w:rPr>
                <w:sz w:val="18"/>
              </w:rPr>
            </w:r>
          </w:p>
        </w:tc>
        <w:tc>
          <w:tcPr>
            <w:tcW w:type="dxa" w:w="2948"/>
          </w:tcPr>
          <w:p>
            <w:pPr>
              <w:spacing w:after="20"/>
            </w:pPr>
            <w:r/>
            <w:r>
              <w:rPr>
                <w:sz w:val="18"/>
              </w:rPr>
            </w:r>
          </w:p>
        </w:tc>
        <w:tc>
          <w:tcPr>
            <w:tcW w:type="dxa" w:w="2041"/>
          </w:tcPr>
          <w:p>
            <w:pPr>
              <w:spacing w:after="20"/>
            </w:pPr>
            <w:r/>
            <w:r>
              <w:rPr>
                <w:sz w:val="18"/>
              </w:rPr>
            </w:r>
          </w:p>
        </w:tc>
        <w:tc>
          <w:tcPr>
            <w:tcW w:type="dxa" w:w="1928"/>
          </w:tcPr>
          <w:p>
            <w:pPr>
              <w:spacing w:after="20"/>
            </w:pPr>
            <w:r/>
            <w:r>
              <w:rPr>
                <w:sz w:val="18"/>
              </w:rPr>
            </w:r>
          </w:p>
        </w:tc>
      </w:tr>
    </w:tbl>
    <w:p/>
    <w:p>
      <w:r>
        <w:rPr>
          <w:b/>
          <w:color w:val="14214D"/>
          <w:sz w:val="18"/>
        </w:rPr>
        <w:t xml:space="preserve">Still at risk?  </w:t>
      </w:r>
      <w:r>
        <w:rPr>
          <w:sz w:val="18"/>
        </w:rPr>
        <w:t>If the area cannot be made safe, the home may be unsafe to live in, or nobody acknowledges the report: use the emergency route and keep escalating.</w:t>
      </w:r>
    </w:p>
    <w:p>
      <w:r>
        <w:rPr>
          <w:i w:val="0"/>
          <w:color w:val="6B6B6B"/>
          <w:sz w:val="16"/>
        </w:rPr>
        <w:t>Sources: SI 2025/1042, the Amendment Regulations 2026, GOV.UK Awaab’s Law phase 2 guidance, Housing Ombudsman hazards guidance.</w:t>
      </w:r>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unibuild.co.uk/downloads/awaabs-law-hazard-report-form/. General guidance, not legal advice. Check your client’s procedures.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Awaab's Law hazard report form   |   Work order [  ]   |   [Property]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1447</Words>
  <Characters>7024</Characters>
  <Application>Microsoft Macintosh Word</Application>
  <DocSecurity>0</DocSecurity>
  <Paragraphs>267</Paragraphs>
  <ScaleCrop>false</ScaleCrop>
  <HeadingPairs>
    <vt:vector size="2" baseType="variant">
      <vt:variant>
        <vt:lpstr>Title</vt:lpstr>
      </vt:variant>
      <vt:variant>
        <vt:i4>1</vt:i4>
      </vt:variant>
    </vt:vector>
  </HeadingPairs>
  <TitlesOfParts>
    <vt:vector size="1" baseType="lpstr">
      <vt:lpstr>Awaab’s Law hazard report form template</vt:lpstr>
    </vt:vector>
  </TitlesOfParts>
  <Manager/>
  <Company>Unibuild Technologies Limited</Company>
  <LinksUpToDate>false</LinksUpToDate>
  <CharactersWithSpaces>8246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Awaab's Law hazard report form and checklist (phase 1 and phase 2), free editable Word document | Unibuild</dc:title>
  <dc:subject>What an engineer records on finding a potential hazard in a social rented home: the job, what the resident said, a phase 1 and phase 2 hazard checklist with urgency, evidence, the report and the office handover.</dc:subject>
  <dc:creator>Unibuild</dc:creator>
  <cp:keywords>Awaab's Law, Awaab’s Law hazard report form template Word, Word template, Awaab's Law hazard report form, Awaab's Law checklist, Awaab's Law phase 2, Awaab's Law template, Awaab's Law form, hazard report form, damp and mould report form</cp:keywords>
  <dc:description>A free editable Awaab's Law hazard report form for engineers and tradespeople working in social rented homes in England: job details, what the resident said, a hazard checklist for phase 1 (damp and mould, every emergency hazard) and phase 2 (excess cold and heat, falls, electrical, fire and explosions, structural collapse, domestic hygiene) with location, extent and suspected urgency, evidence and immediate action, the report from the property, and an office section for receipt, escalation, handover and outcome. The engineer records and reports; the landlord makes the legal classification. This is the Word version, to edit in Microsoft Word or any program that opens .docx files. Free to download, use and reuse, from Unibuild (unibuild.co.uk). Page: https://unibuild.co.uk/downloads/awaabs-law-hazard-report-form/</dc:description>
  <cp:lastModifiedBy>Unibuild</cp:lastModifiedBy>
  <cp:revision>1</cp:revision>
  <dcterms:created xsi:type="dcterms:W3CDTF">2026-10-26T00:00:00Z</dcterms:created>
  <dcterms:modified xsi:type="dcterms:W3CDTF">2026-10-26T04:09:04Z</dcterms:modified>
  <cp:category>Report form</cp:category>
  <dc:language>en-GB</dc:language>
  <dc:identifier>https://unibuild.co.uk/assets/downloads/awaabs-law-hazard-report-form.docx</dc:identifier>
</cp:coreProperties>
</file>